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rFonts w:ascii="Aptos" w:cs="Aptos" w:eastAsia="Aptos" w:hAnsi="Aptos"/>
          <w:b w:val="1"/>
          <w:bCs w:val="1"/>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-51239</wp:posOffset>
            </wp:positionH>
            <wp:positionV relativeFrom="paragraph">
              <wp:posOffset>0</wp:posOffset>
            </wp:positionV>
            <wp:extent cx="1222375" cy="122237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22375" cy="1222375"/>
                    </a:xfrm>
                    <a:prstGeom prst="rect"/>
                    <a:ln/>
                  </pic:spPr>
                </pic:pic>
              </a:graphicData>
            </a:graphic>
          </wp:anchor>
        </w:drawing>
      </w:r>
    </w:p>
    <w:p w:rsidR="00000000" w:rsidDel="00000000" w:rsidP="00000000" w:rsidRDefault="00000000" w:rsidRPr="00000000" w14:paraId="00000002">
      <w:pPr>
        <w:spacing w:after="160" w:line="259" w:lineRule="auto"/>
        <w:ind w:left="720" w:firstLine="0"/>
        <w:rPr>
          <w:rFonts w:ascii="Aptos" w:cs="Aptos" w:eastAsia="Aptos" w:hAnsi="Aptos"/>
          <w:b w:val="1"/>
          <w:bCs w:val="1"/>
          <w:sz w:val="32"/>
          <w:szCs w:val="32"/>
        </w:rPr>
      </w:pPr>
      <w:r w:rsidDel="00000000" w:rsidR="00000000" w:rsidRPr="00000000">
        <w:rPr>
          <w:rFonts w:ascii="Aptos" w:cs="Aptos" w:eastAsia="Aptos" w:hAnsi="Aptos"/>
          <w:b w:val="1"/>
          <w:bCs w:val="1"/>
          <w:sz w:val="32"/>
          <w:szCs w:val="32"/>
          <w:rtl w:val="0"/>
        </w:rPr>
        <w:t xml:space="preserve">Lignes directrices pour l'utilisation de ce modèle pour la conception de votre scénario</w:t>
      </w:r>
      <w:r w:rsidDel="00000000" w:rsidR="00000000" w:rsidRPr="00000000">
        <w:rPr>
          <w:rtl w:val="0"/>
        </w:rPr>
      </w:r>
    </w:p>
    <w:p w:rsidR="00000000" w:rsidDel="00000000" w:rsidP="00000000" w:rsidRDefault="00000000" w:rsidRPr="00000000" w14:paraId="00000003">
      <w:pPr>
        <w:spacing w:after="160" w:line="259" w:lineRule="auto"/>
        <w:rPr>
          <w:rFonts w:ascii="Aptos" w:cs="Aptos" w:eastAsia="Aptos" w:hAnsi="Aptos"/>
        </w:rPr>
      </w:pPr>
      <w:r w:rsidDel="00000000" w:rsidR="00000000" w:rsidRPr="00000000">
        <w:rPr>
          <w:rtl w:val="0"/>
        </w:rPr>
      </w:r>
    </w:p>
    <w:p w:rsidR="00000000" w:rsidDel="00000000" w:rsidP="00000000" w:rsidRDefault="00000000" w:rsidRPr="00000000" w14:paraId="00000004">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5">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Lors de la conception de votre scénario, la meilleure façon de procéder est d'utiliser la planification à rebours. Cela vous aidera, en partant des objectifs finaux et en envisageant la tâche finale, à développer un scénario cohérent dans toutes ses composantes.</w:t>
      </w:r>
    </w:p>
    <w:p w:rsidR="00000000" w:rsidDel="00000000" w:rsidP="00000000" w:rsidRDefault="00000000" w:rsidRPr="00000000" w14:paraId="00000006">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Voici quelques questions d'orientation qui peuvent vous être utiles pour travailler sur la partie 1 de la section 1. Les questions sont destinées à faciliter votre réflexion et ne doivent pas faire l'objet d'une réponse écrite, mais vous pouvez prendre des notes si vous le souhaitez.</w:t>
      </w:r>
    </w:p>
    <w:p w:rsidR="00000000" w:rsidDel="00000000" w:rsidP="00000000" w:rsidRDefault="00000000" w:rsidRPr="00000000" w14:paraId="00000007">
      <w:pPr>
        <w:numPr>
          <w:ilvl w:val="0"/>
          <w:numId w:val="1"/>
        </w:numPr>
        <w:spacing w:after="16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Qui est le public cible ? Qui sont mes apprenants ?</w:t>
      </w:r>
    </w:p>
    <w:p w:rsidR="00000000" w:rsidDel="00000000" w:rsidP="00000000" w:rsidRDefault="00000000" w:rsidRPr="00000000" w14:paraId="00000008">
      <w:pPr>
        <w:numPr>
          <w:ilvl w:val="1"/>
          <w:numId w:val="1"/>
        </w:numPr>
        <w:spacing w:after="160" w:line="259" w:lineRule="auto"/>
        <w:ind w:left="144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Quel est le niveau de langue cible ?</w:t>
      </w:r>
    </w:p>
    <w:p w:rsidR="00000000" w:rsidDel="00000000" w:rsidP="00000000" w:rsidRDefault="00000000" w:rsidRPr="00000000" w14:paraId="00000009">
      <w:pPr>
        <w:numPr>
          <w:ilvl w:val="2"/>
          <w:numId w:val="1"/>
        </w:numPr>
        <w:spacing w:after="160" w:line="259" w:lineRule="auto"/>
        <w:ind w:left="2160" w:hanging="18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i. Réfléchissez à la situation de vos étudiants et à ce que ce scénario pourrait leur apporter (en termes de compétences communicatives, plurilingues, pluri/interculturelles)</w:t>
      </w:r>
    </w:p>
    <w:p w:rsidR="00000000" w:rsidDel="00000000" w:rsidP="00000000" w:rsidRDefault="00000000" w:rsidRPr="00000000" w14:paraId="0000000A">
      <w:pPr>
        <w:numPr>
          <w:ilvl w:val="1"/>
          <w:numId w:val="1"/>
        </w:numPr>
        <w:spacing w:after="160" w:line="259" w:lineRule="auto"/>
        <w:ind w:left="144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Quel est le contexte et l'arrière-plan culturel/plurilingue de ces apprenants ?</w:t>
      </w:r>
    </w:p>
    <w:p w:rsidR="00000000" w:rsidDel="00000000" w:rsidP="00000000" w:rsidRDefault="00000000" w:rsidRPr="00000000" w14:paraId="0000000B">
      <w:pPr>
        <w:numPr>
          <w:ilvl w:val="1"/>
          <w:numId w:val="1"/>
        </w:numPr>
        <w:spacing w:after="160" w:line="259" w:lineRule="auto"/>
        <w:ind w:left="144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Compte tenu du contexte de vos apprenants, quel type de scénario (et de tâche culminante de la vie réelle) répondrait à leurs besoins dans le cadre du programme d'études ?</w:t>
      </w:r>
    </w:p>
    <w:p w:rsidR="00000000" w:rsidDel="00000000" w:rsidP="00000000" w:rsidRDefault="00000000" w:rsidRPr="00000000" w14:paraId="0000000C">
      <w:pPr>
        <w:numPr>
          <w:ilvl w:val="1"/>
          <w:numId w:val="1"/>
        </w:numPr>
        <w:spacing w:after="160" w:line="259" w:lineRule="auto"/>
        <w:ind w:left="144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Quels sont les résultats d'apprentissage attendus (objectifs) de ce scénario ?</w:t>
      </w:r>
    </w:p>
    <w:p w:rsidR="00000000" w:rsidDel="00000000" w:rsidP="00000000" w:rsidRDefault="00000000" w:rsidRPr="00000000" w14:paraId="0000000D">
      <w:pPr>
        <w:numPr>
          <w:ilvl w:val="1"/>
          <w:numId w:val="1"/>
        </w:numPr>
        <w:spacing w:after="160" w:line="259" w:lineRule="auto"/>
        <w:ind w:left="144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Quels sont les défis potentiels que vous pourriez rencontrer ?</w:t>
      </w:r>
    </w:p>
    <w:p w:rsidR="00000000" w:rsidDel="00000000" w:rsidP="00000000" w:rsidRDefault="00000000" w:rsidRPr="00000000" w14:paraId="0000000E">
      <w:pPr>
        <w:numPr>
          <w:ilvl w:val="0"/>
          <w:numId w:val="1"/>
        </w:numPr>
        <w:spacing w:after="16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Maintenant que vous avez rédigé votre scénario, sélectionnez les descripteurs CAN DO pertinents des activités communicatives. Le catalogue des descripteurs du CECR est fourni pour vous aider à sélectionner les descripteurs pertinents (vous pouvez également vous référer directement aux descripteurs du volume d'accompagnement du CECR. Le document des descripteurs du CECR (consultable) est très utile). Le fait de disposer d'une série de descripteurs vous aidera à rendre explicites les principales actions que les apprenants seront en mesure d'accomplir à la fin du scénario lors de la réalisation de la tâche culminante. Il se peut que vous souhaitiez/deviez adapter légèrement les descripteurs pour répondre à des aspects spécifiques de votre scénario (par exemple en spécifiant le type de texte ou le type de situation).</w:t>
      </w:r>
    </w:p>
    <w:p w:rsidR="00000000" w:rsidDel="00000000" w:rsidP="00000000" w:rsidRDefault="00000000" w:rsidRPr="00000000" w14:paraId="0000000F">
      <w:pPr>
        <w:numPr>
          <w:ilvl w:val="0"/>
          <w:numId w:val="1"/>
        </w:numPr>
        <w:spacing w:after="16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Maintenant que vous disposez de votre liste d'activités de communication (le « Quoi »), vous devez identifier les différentes compétences qui entrent en jeu (le « Comment »). Comment les élèves vont-ils faire ce qu'on attend d'eux ? De quelles compétences (linguistiques, pragmatiques/sociolinguistiques, socioculturelles, plurilingues/pluriculturelles) ont-ils besoin pour réaliser l'action ? Et, à leur tour, quelles compétences peuvent-ils développer en réalisant l'action ? Utilisez les descripteurs du CECR pour vous aider.</w:t>
      </w:r>
    </w:p>
    <w:p w:rsidR="00000000" w:rsidDel="00000000" w:rsidP="00000000" w:rsidRDefault="00000000" w:rsidRPr="00000000" w14:paraId="00000010">
      <w:pPr>
        <w:numPr>
          <w:ilvl w:val="0"/>
          <w:numId w:val="1"/>
        </w:numPr>
        <w:spacing w:after="16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D'autres dimensions sont impliquées dans le scénario, telles que la médiation (en particulier dans le travail de groupe) et la capacité d'apprentissage. De quelle manière les élèves s'aideront-ils et aideront-ils les autres à comprendre et à produire des textes oraux et écrits liés au scénario ? Comment les élèves réfléchissent-ils à leur processus d'apprentissage et s'appuient-ils sur leurs points forts ? Les descripteurs pour la médiation sont disponibles dans le volume d'accompagnement du CECR. Des exemples de stratégies d'apprentissage sont disponibles dans le document Ability to Learn (Capacité à apprendre).</w:t>
      </w:r>
    </w:p>
    <w:p w:rsidR="00000000" w:rsidDel="00000000" w:rsidP="00000000" w:rsidRDefault="00000000" w:rsidRPr="00000000" w14:paraId="00000011">
      <w:pPr>
        <w:numPr>
          <w:ilvl w:val="0"/>
          <w:numId w:val="1"/>
        </w:numPr>
        <w:spacing w:after="16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Une fois que vous aurez finalisé la partie 1, vous serez prêt à créer vos plans de cours pour les différentes étapes (partie 2 : élaboration du scénario). N'oubliez pas que ces étapes prépareront les élèves à accomplir la tâche finale à la fin du scénario.</w:t>
      </w:r>
    </w:p>
    <w:p w:rsidR="00000000" w:rsidDel="00000000" w:rsidP="00000000" w:rsidRDefault="00000000" w:rsidRPr="00000000" w14:paraId="00000012">
      <w:pPr>
        <w:numPr>
          <w:ilvl w:val="0"/>
          <w:numId w:val="1"/>
        </w:numPr>
        <w:spacing w:after="16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Il ne reste plus qu'à créer vos outils d'évaluation. Il y a deux parties : une liste de contrôle d'observation à utiliser par l'enseignant et une liste de contrôle d'auto-évaluation à utiliser par les élèves. Les modèles vides sont organisés autour des mêmes catégories que celles que vous avez utilisées dans la Partie 1 # 8, 9, 10 et 11. N'oubliez pas que les descripteurs utilisés dans la liste de contrôle pour l'auto-évaluation doivent être rédigés dans un langage simple, afin que les apprenants puissent les comprendre plus facilement. Cela implique une certaine reformulation des descripteurs. Des exemples pour chacune de ces deux listes de contrôle sont fournis ci-dessous pour vous aider dans ce processus.</w:t>
      </w:r>
    </w:p>
    <w:p w:rsidR="00000000" w:rsidDel="00000000" w:rsidP="00000000" w:rsidRDefault="00000000" w:rsidRPr="00000000" w14:paraId="00000013">
      <w:pPr>
        <w:numPr>
          <w:ilvl w:val="0"/>
          <w:numId w:val="1"/>
        </w:numPr>
        <w:spacing w:after="160" w:line="259" w:lineRule="auto"/>
        <w:ind w:left="72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Pour attribuer les notes, vous pouvez utiliser la grille d'évaluation (voir le lien vers un document séparé dans le tableau de référence rapide). Cette grille est principalement destinée à l'évaluation sommative, mais vous pouvez également décider de l'utiliser dans le cadre de l'évaluation formative pour donner aux étudiants une idée des domaines qu'ils doivent renforcer.</w:t>
      </w:r>
    </w:p>
    <w:p w:rsidR="00000000" w:rsidDel="00000000" w:rsidP="00000000" w:rsidRDefault="00000000" w:rsidRPr="00000000" w14:paraId="00000014">
      <w:pPr>
        <w:spacing w:after="160" w:line="259" w:lineRule="auto"/>
        <w:rPr>
          <w:rFonts w:ascii="Aptos" w:cs="Aptos" w:eastAsia="Aptos" w:hAnsi="Aptos"/>
        </w:rPr>
      </w:pPr>
      <w:r w:rsidDel="00000000" w:rsidR="00000000" w:rsidRPr="00000000">
        <w:rPr>
          <w:rtl w:val="0"/>
        </w:rPr>
      </w:r>
    </w:p>
    <w:tbl>
      <w:tblPr>
        <w:tblStyle w:val="Table1"/>
        <w:tblW w:w="9618.0" w:type="dxa"/>
        <w:jc w:val="left"/>
        <w:tblLayout w:type="fixed"/>
        <w:tblLook w:val="0400"/>
      </w:tblPr>
      <w:tblGrid>
        <w:gridCol w:w="416"/>
        <w:gridCol w:w="2551"/>
        <w:gridCol w:w="2977"/>
        <w:gridCol w:w="3674"/>
        <w:tblGridChange w:id="0">
          <w:tblGrid>
            <w:gridCol w:w="416"/>
            <w:gridCol w:w="2551"/>
            <w:gridCol w:w="2977"/>
            <w:gridCol w:w="3674"/>
          </w:tblGrid>
        </w:tblGridChange>
      </w:tblGrid>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243673" w:val="clear"/>
            <w:tcMar>
              <w:top w:w="100.0" w:type="dxa"/>
              <w:left w:w="100.0" w:type="dxa"/>
              <w:bottom w:w="100.0" w:type="dxa"/>
              <w:right w:w="100.0" w:type="dxa"/>
            </w:tcMar>
          </w:tcPr>
          <w:p w:rsidR="00000000" w:rsidDel="00000000" w:rsidP="00000000" w:rsidRDefault="00000000" w:rsidRPr="00000000" w14:paraId="00000015">
            <w:pPr>
              <w:spacing w:after="160" w:line="259" w:lineRule="auto"/>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Quick Reference Chart</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243673" w:val="clear"/>
            <w:tcMar>
              <w:top w:w="100.0" w:type="dxa"/>
              <w:left w:w="100.0" w:type="dxa"/>
              <w:bottom w:w="100.0" w:type="dxa"/>
              <w:right w:w="100.0" w:type="dxa"/>
            </w:tcMar>
          </w:tcPr>
          <w:p w:rsidR="00000000" w:rsidDel="00000000" w:rsidP="00000000" w:rsidRDefault="00000000" w:rsidRPr="00000000" w14:paraId="00000019">
            <w:pPr>
              <w:spacing w:after="160" w:line="259" w:lineRule="auto"/>
              <w:rPr>
                <w:rFonts w:ascii="Aptos" w:cs="Aptos" w:eastAsia="Aptos" w:hAnsi="Aptos"/>
                <w:color w:val="ffffff"/>
              </w:rPr>
            </w:pPr>
            <w:r w:rsidDel="00000000" w:rsidR="00000000" w:rsidRPr="00000000">
              <w:rPr>
                <w:rFonts w:ascii="Aptos" w:cs="Aptos" w:eastAsia="Aptos" w:hAnsi="Aptos"/>
                <w:b w:val="1"/>
                <w:bCs w:val="1"/>
                <w:color w:val="ffffff"/>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243673" w:val="clear"/>
            <w:tcMar>
              <w:top w:w="100.0" w:type="dxa"/>
              <w:left w:w="100.0" w:type="dxa"/>
              <w:bottom w:w="100.0" w:type="dxa"/>
              <w:right w:w="100.0" w:type="dxa"/>
            </w:tcMar>
          </w:tcPr>
          <w:p w:rsidR="00000000" w:rsidDel="00000000" w:rsidP="00000000" w:rsidRDefault="00000000" w:rsidRPr="00000000" w14:paraId="0000001A">
            <w:pPr>
              <w:spacing w:after="160" w:line="259" w:lineRule="auto"/>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Name of Document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243673" w:val="clear"/>
            <w:tcMar>
              <w:top w:w="100.0" w:type="dxa"/>
              <w:left w:w="100.0" w:type="dxa"/>
              <w:bottom w:w="100.0" w:type="dxa"/>
              <w:right w:w="100.0" w:type="dxa"/>
            </w:tcMar>
          </w:tcPr>
          <w:p w:rsidR="00000000" w:rsidDel="00000000" w:rsidP="00000000" w:rsidRDefault="00000000" w:rsidRPr="00000000" w14:paraId="0000001B">
            <w:pPr>
              <w:spacing w:after="160" w:line="259" w:lineRule="auto"/>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Focus/Purpose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243673" w:val="clear"/>
            <w:tcMar>
              <w:top w:w="100.0" w:type="dxa"/>
              <w:left w:w="100.0" w:type="dxa"/>
              <w:bottom w:w="100.0" w:type="dxa"/>
              <w:right w:w="100.0" w:type="dxa"/>
            </w:tcMar>
          </w:tcPr>
          <w:p w:rsidR="00000000" w:rsidDel="00000000" w:rsidP="00000000" w:rsidRDefault="00000000" w:rsidRPr="00000000" w14:paraId="0000001C">
            <w:pPr>
              <w:spacing w:after="160" w:line="259" w:lineRule="auto"/>
              <w:rPr>
                <w:rFonts w:ascii="Aptos" w:cs="Aptos" w:eastAsia="Aptos" w:hAnsi="Aptos"/>
                <w:color w:val="ffffff"/>
                <w:sz w:val="20"/>
                <w:szCs w:val="20"/>
              </w:rPr>
            </w:pPr>
            <w:r w:rsidDel="00000000" w:rsidR="00000000" w:rsidRPr="00000000">
              <w:rPr>
                <w:rFonts w:ascii="Aptos" w:cs="Aptos" w:eastAsia="Aptos" w:hAnsi="Aptos"/>
                <w:b w:val="1"/>
                <w:bCs w:val="1"/>
                <w:color w:val="ffffff"/>
                <w:sz w:val="20"/>
                <w:szCs w:val="20"/>
                <w:rtl w:val="0"/>
              </w:rPr>
              <w:t xml:space="preserve">Hyperlink</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Volume complémentaire du CECR en anglais (2020) - Outil consultable sur les descripteurs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fournit l'ensemble des descripteurs du CECR en anglais à utiliser dans le modèle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Aptos" w:cs="Aptos" w:eastAsia="Aptos" w:hAnsi="Aptos"/>
                <w:sz w:val="18"/>
                <w:szCs w:val="18"/>
              </w:rPr>
            </w:pPr>
            <w:hyperlink r:id="rId7">
              <w:r w:rsidDel="00000000" w:rsidR="00000000" w:rsidRPr="00000000">
                <w:rPr>
                  <w:rFonts w:ascii="Cambria" w:cs="Cambria" w:eastAsia="Cambria" w:hAnsi="Cambria"/>
                  <w:color w:val="1155cc"/>
                  <w:u w:val="single"/>
                  <w:rtl w:val="0"/>
                </w:rPr>
                <w:t xml:space="preserve">https://rexquist.com/cefr/</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Volume complémentaire du CECR (2020) Descripteurs offerts en 5 langues (anglais, français, allemand, espagnol, italien) Fichier excel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L'ensemble des descripteurs du CECR en 5 langues (un par onglet) au format excel</w:t>
            </w:r>
          </w:p>
          <w:p w:rsidR="00000000" w:rsidDel="00000000" w:rsidP="00000000" w:rsidRDefault="00000000" w:rsidRPr="00000000" w14:paraId="00000024">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Il permet de sélectionner les descripteurs pertinents.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Aptos" w:cs="Aptos" w:eastAsia="Aptos" w:hAnsi="Aptos"/>
              </w:rPr>
            </w:pPr>
            <w:hyperlink r:id="rId8">
              <w:r w:rsidDel="00000000" w:rsidR="00000000" w:rsidRPr="00000000">
                <w:rPr>
                  <w:color w:val="1155cc"/>
                  <w:highlight w:val="white"/>
                  <w:u w:val="single"/>
                  <w:rtl w:val="0"/>
                </w:rPr>
                <w:t xml:space="preserve">Descripteurs  du CECR (consultable)</w:t>
              </w:r>
            </w:hyperlink>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6">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7">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CEFR Companion Volume (2020)</w:t>
            </w:r>
          </w:p>
          <w:p w:rsidR="00000000" w:rsidDel="00000000" w:rsidP="00000000" w:rsidRDefault="00000000" w:rsidRPr="00000000" w14:paraId="00000028">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(nouvelle édition mise à jour et étendue du CECR)</w:t>
            </w:r>
          </w:p>
          <w:p w:rsidR="00000000" w:rsidDel="00000000" w:rsidP="00000000" w:rsidRDefault="00000000" w:rsidRPr="00000000" w14:paraId="00000029">
            <w:pPr>
              <w:spacing w:after="160" w:line="259" w:lineRule="auto"/>
              <w:rPr>
                <w:rFonts w:ascii="Aptos" w:cs="Aptos" w:eastAsia="Aptos" w:hAnsi="Aptos"/>
                <w:b w:val="1"/>
                <w:bCs w:val="1"/>
                <w:color w:val="243673"/>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A">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est le document original et fournit tous les descripteurs, les justifications de l'échelle, des exemples de domaines et des explications sur les concepts clés du CECR.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spacing w:after="160" w:line="259" w:lineRule="auto"/>
              <w:rPr>
                <w:rFonts w:ascii="Aptos" w:cs="Aptos" w:eastAsia="Aptos" w:hAnsi="Aptos"/>
                <w:sz w:val="20"/>
                <w:szCs w:val="20"/>
              </w:rPr>
            </w:pPr>
            <w:hyperlink r:id="rId9">
              <w:r w:rsidDel="00000000" w:rsidR="00000000" w:rsidRPr="00000000">
                <w:rPr>
                  <w:rFonts w:ascii="Aptos" w:cs="Aptos" w:eastAsia="Aptos" w:hAnsi="Aptos"/>
                  <w:color w:val="1155cc"/>
                  <w:sz w:val="20"/>
                  <w:szCs w:val="20"/>
                  <w:u w:val="single"/>
                  <w:rtl w:val="0"/>
                </w:rPr>
                <w:t xml:space="preserve">CECR Volume complémentaire</w:t>
              </w:r>
            </w:hyperlink>
            <w:r w:rsidDel="00000000" w:rsidR="00000000" w:rsidRPr="00000000">
              <w:rPr>
                <w:rtl w:val="0"/>
              </w:rPr>
            </w:r>
          </w:p>
          <w:p w:rsidR="00000000" w:rsidDel="00000000" w:rsidP="00000000" w:rsidRDefault="00000000" w:rsidRPr="00000000" w14:paraId="0000002C">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le CECR 2020 peut être téléchargé en format .pdf en plusieurs langues</w:t>
            </w:r>
          </w:p>
          <w:p w:rsidR="00000000" w:rsidDel="00000000" w:rsidP="00000000" w:rsidRDefault="00000000" w:rsidRPr="00000000" w14:paraId="0000002D">
            <w:pPr>
              <w:spacing w:after="160" w:line="259" w:lineRule="auto"/>
              <w:rPr>
                <w:rFonts w:ascii="Aptos" w:cs="Aptos" w:eastAsia="Aptos" w:hAnsi="Aptos"/>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Stratégies d'apprentissage des langues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fournit des exemples de stratégies d'apprentissage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Aptos" w:cs="Aptos" w:eastAsia="Aptos" w:hAnsi="Aptos"/>
                <w:sz w:val="18"/>
                <w:szCs w:val="18"/>
              </w:rPr>
            </w:pPr>
            <w:hyperlink r:id="rId10">
              <w:r w:rsidDel="00000000" w:rsidR="00000000" w:rsidRPr="00000000">
                <w:rPr>
                  <w:rFonts w:ascii="Cambria" w:cs="Cambria" w:eastAsia="Cambria" w:hAnsi="Cambria"/>
                  <w:color w:val="1155cc"/>
                  <w:u w:val="single"/>
                  <w:rtl w:val="0"/>
                </w:rPr>
                <w:t xml:space="preserve">https://docs.google.com/document/d/1IrsO0WAW8J1brdk0lQxkK17nAbY2zljKwepFsuspL5k/edit</w:t>
              </w:r>
            </w:hyperlink>
            <w:r w:rsidDel="00000000" w:rsidR="00000000" w:rsidRPr="00000000">
              <w:rPr>
                <w:rFonts w:ascii="Cambria" w:cs="Cambria" w:eastAsia="Cambria" w:hAnsi="Cambria"/>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after="160" w:line="259" w:lineRule="auto"/>
              <w:rPr>
                <w:rFonts w:ascii="Aptos" w:cs="Aptos" w:eastAsia="Aptos" w:hAnsi="Aptos"/>
                <w:b w:val="1"/>
                <w:bCs w:val="1"/>
                <w:color w:val="243673"/>
                <w:sz w:val="20"/>
                <w:szCs w:val="20"/>
              </w:rPr>
            </w:pPr>
            <w:r w:rsidDel="00000000" w:rsidR="00000000" w:rsidRPr="00000000">
              <w:rPr>
                <w:rFonts w:ascii="Aptos" w:cs="Aptos" w:eastAsia="Aptos" w:hAnsi="Aptos"/>
                <w:b w:val="1"/>
                <w:bCs w:val="1"/>
                <w:color w:val="243673"/>
                <w:sz w:val="20"/>
                <w:szCs w:val="20"/>
                <w:rtl w:val="0"/>
              </w:rPr>
              <w:t xml:space="preserve">Grille d’évaluation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spacing w:after="160" w:line="259"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fournit des rubriques pour l'attribution des notes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Aptos" w:cs="Aptos" w:eastAsia="Aptos" w:hAnsi="Aptos"/>
              </w:rPr>
            </w:pPr>
            <w:hyperlink r:id="rId11">
              <w:r w:rsidDel="00000000" w:rsidR="00000000" w:rsidRPr="00000000">
                <w:rPr>
                  <w:rFonts w:ascii="Cambria" w:cs="Cambria" w:eastAsia="Cambria" w:hAnsi="Cambria"/>
                  <w:color w:val="1155cc"/>
                  <w:u w:val="single"/>
                  <w:rtl w:val="0"/>
                </w:rPr>
                <w:t xml:space="preserve">https://docs.google.com/document/d/0B3ZYygjUFUx4UUZLTHYzbDZHd28/edit</w:t>
              </w:r>
            </w:hyperlink>
            <w:r w:rsidDel="00000000" w:rsidR="00000000" w:rsidRPr="00000000">
              <w:rPr>
                <w:rFonts w:ascii="Cambria" w:cs="Cambria" w:eastAsia="Cambria" w:hAnsi="Cambria"/>
                <w:b w:val="1"/>
                <w:bCs w:val="1"/>
                <w:rtl w:val="0"/>
              </w:rPr>
              <w:t xml:space="preserve"> </w:t>
            </w:r>
            <w:r w:rsidDel="00000000" w:rsidR="00000000" w:rsidRPr="00000000">
              <w:rPr>
                <w:rtl w:val="0"/>
              </w:rPr>
            </w:r>
          </w:p>
        </w:tc>
      </w:tr>
    </w:tbl>
    <w:p w:rsidR="00000000" w:rsidDel="00000000" w:rsidP="00000000" w:rsidRDefault="00000000" w:rsidRPr="00000000" w14:paraId="00000036">
      <w:pPr>
        <w:spacing w:after="160" w:line="259" w:lineRule="auto"/>
        <w:rPr>
          <w:rFonts w:ascii="Aptos" w:cs="Aptos" w:eastAsia="Aptos" w:hAnsi="Aptos"/>
        </w:rPr>
      </w:pPr>
      <w:r w:rsidDel="00000000" w:rsidR="00000000" w:rsidRPr="00000000">
        <w:rPr>
          <w:rtl w:val="0"/>
        </w:rPr>
      </w:r>
    </w:p>
    <w:p w:rsidR="00000000" w:rsidDel="00000000" w:rsidP="00000000" w:rsidRDefault="00000000" w:rsidRPr="00000000" w14:paraId="00000037">
      <w:pPr>
        <w:rPr>
          <w:rFonts w:ascii="Cambria" w:cs="Cambria" w:eastAsia="Cambria" w:hAnsi="Cambria"/>
          <w:b w:val="1"/>
          <w:bCs w:val="1"/>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0B3ZYygjUFUx4UUZLTHYzbDZHd28/edit" TargetMode="External"/><Relationship Id="rId10" Type="http://schemas.openxmlformats.org/officeDocument/2006/relationships/hyperlink" Target="https://docs.google.com/document/d/1IrsO0WAW8J1brdk0lQxkK17nAbY2zljKwepFsuspL5k/edit" TargetMode="External"/><Relationship Id="rId9" Type="http://schemas.openxmlformats.org/officeDocument/2006/relationships/hyperlink" Target="https://www.coe.int/fr/web/common-european-framework-reference-languages/cefr-companion-volume-and-its-language-version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rexquist.com/cefr/" TargetMode="External"/><Relationship Id="rId8" Type="http://schemas.openxmlformats.org/officeDocument/2006/relationships/hyperlink" Target="https://rm.coe.int/cefr-descriptors-2020-/16809ed2c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