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C19C" w14:textId="2845915A" w:rsidR="00AD139A" w:rsidRDefault="00AD139A" w:rsidP="00AD139A">
      <w:pPr>
        <w:jc w:val="center"/>
        <w:rPr>
          <w:rFonts w:ascii="Aptos" w:eastAsia="Aptos" w:hAnsi="Aptos" w:cs="Aptos"/>
          <w:b/>
          <w:bCs/>
          <w:color w:val="000000"/>
          <w:sz w:val="32"/>
          <w:szCs w:val="32"/>
        </w:rPr>
      </w:pPr>
      <w:r>
        <w:rPr>
          <w:noProof/>
        </w:rPr>
        <w:drawing>
          <wp:anchor distT="0" distB="0" distL="114300" distR="114300" simplePos="0" relativeHeight="251658240" behindDoc="1" locked="0" layoutInCell="1" allowOverlap="1" wp14:anchorId="54C475CC" wp14:editId="5D6623D1">
            <wp:simplePos x="0" y="0"/>
            <wp:positionH relativeFrom="column">
              <wp:posOffset>-51240</wp:posOffset>
            </wp:positionH>
            <wp:positionV relativeFrom="paragraph">
              <wp:posOffset>0</wp:posOffset>
            </wp:positionV>
            <wp:extent cx="1222375" cy="1222375"/>
            <wp:effectExtent l="0" t="0" r="0" b="0"/>
            <wp:wrapTight wrapText="bothSides">
              <wp:wrapPolygon edited="0">
                <wp:start x="10548" y="898"/>
                <wp:lineTo x="7181" y="4937"/>
                <wp:lineTo x="4039" y="12118"/>
                <wp:lineTo x="3142" y="15709"/>
                <wp:lineTo x="898" y="18178"/>
                <wp:lineTo x="1122" y="19300"/>
                <wp:lineTo x="6508" y="19973"/>
                <wp:lineTo x="10548" y="19973"/>
                <wp:lineTo x="20422" y="19300"/>
                <wp:lineTo x="21095" y="19075"/>
                <wp:lineTo x="19524" y="15485"/>
                <wp:lineTo x="18178" y="13241"/>
                <wp:lineTo x="17056" y="12118"/>
                <wp:lineTo x="18178" y="12118"/>
                <wp:lineTo x="18626" y="10548"/>
                <wp:lineTo x="17953" y="8528"/>
                <wp:lineTo x="19300" y="7406"/>
                <wp:lineTo x="18626" y="6732"/>
                <wp:lineTo x="14363" y="4937"/>
                <wp:lineTo x="11670" y="898"/>
                <wp:lineTo x="10548" y="898"/>
              </wp:wrapPolygon>
            </wp:wrapTight>
            <wp:docPr id="6590166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222375" cy="1222375"/>
                    </a:xfrm>
                    <a:prstGeom prst="rect">
                      <a:avLst/>
                    </a:prstGeom>
                    <a:ln/>
                  </pic:spPr>
                </pic:pic>
              </a:graphicData>
            </a:graphic>
            <wp14:sizeRelH relativeFrom="page">
              <wp14:pctWidth>0</wp14:pctWidth>
            </wp14:sizeRelH>
            <wp14:sizeRelV relativeFrom="page">
              <wp14:pctHeight>0</wp14:pctHeight>
            </wp14:sizeRelV>
          </wp:anchor>
        </w:drawing>
      </w:r>
    </w:p>
    <w:p w14:paraId="227651E4" w14:textId="59B24D1F" w:rsidR="00AD139A" w:rsidRDefault="00AD139A" w:rsidP="00677354">
      <w:pPr>
        <w:ind w:left="2880" w:firstLine="720"/>
        <w:rPr>
          <w:rFonts w:ascii="Aptos" w:eastAsia="Aptos" w:hAnsi="Aptos" w:cs="Aptos"/>
          <w:b/>
          <w:bCs/>
          <w:color w:val="000000"/>
          <w:sz w:val="32"/>
          <w:szCs w:val="32"/>
        </w:rPr>
      </w:pPr>
      <w:r w:rsidRPr="00AD139A">
        <w:rPr>
          <w:rFonts w:ascii="Aptos" w:eastAsia="Aptos" w:hAnsi="Aptos" w:cs="Aptos"/>
          <w:b/>
          <w:bCs/>
          <w:color w:val="000000"/>
          <w:sz w:val="32"/>
          <w:szCs w:val="32"/>
        </w:rPr>
        <w:t>GUIDELINES</w:t>
      </w:r>
      <w:r>
        <w:rPr>
          <w:rFonts w:ascii="Aptos" w:eastAsia="Aptos" w:hAnsi="Aptos" w:cs="Aptos"/>
          <w:b/>
          <w:bCs/>
          <w:color w:val="000000"/>
          <w:sz w:val="32"/>
          <w:szCs w:val="32"/>
        </w:rPr>
        <w:t>:</w:t>
      </w:r>
    </w:p>
    <w:p w14:paraId="765A773A" w14:textId="41448B0D" w:rsidR="00AD139A" w:rsidRPr="00AD139A" w:rsidRDefault="00677354" w:rsidP="00677354">
      <w:pPr>
        <w:ind w:left="720"/>
        <w:rPr>
          <w:rFonts w:ascii="Aptos" w:eastAsia="Aptos" w:hAnsi="Aptos" w:cs="Aptos"/>
          <w:b/>
          <w:bCs/>
          <w:color w:val="243673"/>
          <w:sz w:val="32"/>
          <w:szCs w:val="32"/>
        </w:rPr>
      </w:pPr>
      <w:r>
        <w:rPr>
          <w:rFonts w:ascii="Aptos" w:eastAsia="Aptos" w:hAnsi="Aptos" w:cs="Aptos"/>
          <w:color w:val="000000"/>
          <w:sz w:val="32"/>
          <w:szCs w:val="32"/>
        </w:rPr>
        <w:t xml:space="preserve">HOW TO USE </w:t>
      </w:r>
      <w:r w:rsidR="00AD139A" w:rsidRPr="00AD139A">
        <w:rPr>
          <w:rFonts w:ascii="Aptos" w:eastAsia="Aptos" w:hAnsi="Aptos" w:cs="Aptos"/>
          <w:color w:val="000000"/>
          <w:sz w:val="32"/>
          <w:szCs w:val="32"/>
        </w:rPr>
        <w:t>THE ©LINCDIRE SCENARIO-TEMPLATE</w:t>
      </w:r>
    </w:p>
    <w:p w14:paraId="2DF393E1" w14:textId="77777777" w:rsidR="00AD139A" w:rsidRDefault="00AD139A">
      <w:pPr>
        <w:rPr>
          <w:rFonts w:ascii="Aptos" w:eastAsia="Aptos" w:hAnsi="Aptos" w:cs="Aptos"/>
        </w:rPr>
      </w:pPr>
    </w:p>
    <w:p w14:paraId="610C5E6C" w14:textId="7B326F81" w:rsidR="00E04158" w:rsidRPr="007451E3" w:rsidRDefault="00000000">
      <w:pPr>
        <w:rPr>
          <w:rFonts w:ascii="Aptos" w:eastAsia="Aptos" w:hAnsi="Aptos" w:cs="Aptos"/>
          <w:sz w:val="24"/>
          <w:szCs w:val="24"/>
        </w:rPr>
      </w:pPr>
      <w:r w:rsidRPr="007451E3">
        <w:rPr>
          <w:rFonts w:ascii="Aptos" w:eastAsia="Aptos" w:hAnsi="Aptos" w:cs="Aptos"/>
          <w:sz w:val="24"/>
          <w:szCs w:val="24"/>
        </w:rPr>
        <w:t xml:space="preserve">While designing your scenario, the best way to proceed is to use </w:t>
      </w:r>
      <w:r w:rsidRPr="007451E3">
        <w:rPr>
          <w:rFonts w:ascii="Aptos" w:eastAsia="Aptos" w:hAnsi="Aptos" w:cs="Aptos"/>
          <w:sz w:val="24"/>
          <w:szCs w:val="24"/>
          <w:u w:val="single"/>
        </w:rPr>
        <w:t>backwards design</w:t>
      </w:r>
      <w:r w:rsidRPr="007451E3">
        <w:rPr>
          <w:rFonts w:ascii="Aptos" w:eastAsia="Aptos" w:hAnsi="Aptos" w:cs="Aptos"/>
          <w:sz w:val="24"/>
          <w:szCs w:val="24"/>
        </w:rPr>
        <w:t>.  This helps you to develop a coherent scenario in all its components</w:t>
      </w:r>
      <w:r w:rsidR="00774B0B">
        <w:rPr>
          <w:rFonts w:ascii="Aptos" w:eastAsia="Aptos" w:hAnsi="Aptos" w:cs="Aptos"/>
          <w:sz w:val="24"/>
          <w:szCs w:val="24"/>
        </w:rPr>
        <w:t xml:space="preserve"> </w:t>
      </w:r>
      <w:r w:rsidR="00774B0B" w:rsidRPr="007451E3">
        <w:rPr>
          <w:rFonts w:ascii="Aptos" w:eastAsia="Aptos" w:hAnsi="Aptos" w:cs="Aptos"/>
          <w:sz w:val="24"/>
          <w:szCs w:val="24"/>
        </w:rPr>
        <w:t>by starting from the end objectives and envisioning the culminating task</w:t>
      </w:r>
      <w:r w:rsidRPr="007451E3">
        <w:rPr>
          <w:rFonts w:ascii="Aptos" w:eastAsia="Aptos" w:hAnsi="Aptos" w:cs="Aptos"/>
          <w:sz w:val="24"/>
          <w:szCs w:val="24"/>
        </w:rPr>
        <w:t>.</w:t>
      </w:r>
    </w:p>
    <w:p w14:paraId="328F2E7A" w14:textId="003F38D3" w:rsidR="00E04158" w:rsidRPr="007451E3" w:rsidRDefault="00000000">
      <w:pPr>
        <w:rPr>
          <w:rFonts w:ascii="Aptos" w:eastAsia="Aptos" w:hAnsi="Aptos" w:cs="Aptos"/>
          <w:sz w:val="24"/>
          <w:szCs w:val="24"/>
        </w:rPr>
      </w:pPr>
      <w:r w:rsidRPr="007451E3">
        <w:rPr>
          <w:rFonts w:ascii="Aptos" w:eastAsia="Aptos" w:hAnsi="Aptos" w:cs="Aptos"/>
          <w:sz w:val="24"/>
          <w:szCs w:val="24"/>
        </w:rPr>
        <w:t xml:space="preserve">Here are some guiding questions you may find useful while working </w:t>
      </w:r>
      <w:r w:rsidR="00AD139A" w:rsidRPr="007451E3">
        <w:rPr>
          <w:rFonts w:ascii="Aptos" w:eastAsia="Aptos" w:hAnsi="Aptos" w:cs="Aptos"/>
          <w:sz w:val="24"/>
          <w:szCs w:val="24"/>
        </w:rPr>
        <w:t>on</w:t>
      </w:r>
      <w:r w:rsidRPr="007451E3">
        <w:rPr>
          <w:rFonts w:ascii="Aptos" w:eastAsia="Aptos" w:hAnsi="Aptos" w:cs="Aptos"/>
          <w:sz w:val="24"/>
          <w:szCs w:val="24"/>
        </w:rPr>
        <w:t xml:space="preserve"> part 1 of section 1. The questions are meant to help your reflection, not to be answered in written form, however, you may jot down notes if you wish.</w:t>
      </w:r>
    </w:p>
    <w:p w14:paraId="39F6BE9C" w14:textId="77777777" w:rsidR="00E04158" w:rsidRPr="007451E3" w:rsidRDefault="00000000">
      <w:pPr>
        <w:numPr>
          <w:ilvl w:val="0"/>
          <w:numId w:val="6"/>
        </w:numPr>
        <w:rPr>
          <w:rFonts w:ascii="Aptos" w:eastAsia="Aptos" w:hAnsi="Aptos" w:cs="Aptos"/>
          <w:sz w:val="24"/>
          <w:szCs w:val="24"/>
        </w:rPr>
      </w:pPr>
      <w:r w:rsidRPr="007451E3">
        <w:rPr>
          <w:rFonts w:ascii="Aptos" w:eastAsia="Aptos" w:hAnsi="Aptos" w:cs="Aptos"/>
          <w:sz w:val="24"/>
          <w:szCs w:val="24"/>
        </w:rPr>
        <w:t>Who is the target audience? Who are my learners?</w:t>
      </w:r>
    </w:p>
    <w:p w14:paraId="49FB3AAB" w14:textId="77777777" w:rsidR="00E04158" w:rsidRPr="007451E3" w:rsidRDefault="00000000">
      <w:pPr>
        <w:numPr>
          <w:ilvl w:val="1"/>
          <w:numId w:val="6"/>
        </w:numPr>
        <w:rPr>
          <w:rFonts w:ascii="Aptos" w:eastAsia="Aptos" w:hAnsi="Aptos" w:cs="Aptos"/>
          <w:sz w:val="24"/>
          <w:szCs w:val="24"/>
        </w:rPr>
      </w:pPr>
      <w:r w:rsidRPr="007451E3">
        <w:rPr>
          <w:rFonts w:ascii="Aptos" w:eastAsia="Aptos" w:hAnsi="Aptos" w:cs="Aptos"/>
          <w:sz w:val="24"/>
          <w:szCs w:val="24"/>
        </w:rPr>
        <w:t>What is the target language level? </w:t>
      </w:r>
    </w:p>
    <w:p w14:paraId="46067D59" w14:textId="77777777" w:rsidR="00E04158" w:rsidRPr="007451E3" w:rsidRDefault="00000000">
      <w:pPr>
        <w:numPr>
          <w:ilvl w:val="2"/>
          <w:numId w:val="6"/>
        </w:numPr>
        <w:rPr>
          <w:rFonts w:ascii="Aptos" w:eastAsia="Aptos" w:hAnsi="Aptos" w:cs="Aptos"/>
          <w:i/>
          <w:iCs/>
          <w:sz w:val="24"/>
          <w:szCs w:val="24"/>
        </w:rPr>
      </w:pPr>
      <w:r w:rsidRPr="007451E3">
        <w:rPr>
          <w:rFonts w:ascii="Aptos" w:eastAsia="Aptos" w:hAnsi="Aptos" w:cs="Aptos"/>
          <w:i/>
          <w:iCs/>
          <w:sz w:val="24"/>
          <w:szCs w:val="24"/>
        </w:rPr>
        <w:t xml:space="preserve">Think of where your students are and where this scenario could take them (in terms of communicative, plurilingual, </w:t>
      </w:r>
      <w:proofErr w:type="spellStart"/>
      <w:r w:rsidRPr="007451E3">
        <w:rPr>
          <w:rFonts w:ascii="Aptos" w:eastAsia="Aptos" w:hAnsi="Aptos" w:cs="Aptos"/>
          <w:i/>
          <w:iCs/>
          <w:sz w:val="24"/>
          <w:szCs w:val="24"/>
        </w:rPr>
        <w:t>pluri</w:t>
      </w:r>
      <w:proofErr w:type="spellEnd"/>
      <w:r w:rsidRPr="007451E3">
        <w:rPr>
          <w:rFonts w:ascii="Aptos" w:eastAsia="Aptos" w:hAnsi="Aptos" w:cs="Aptos"/>
          <w:i/>
          <w:iCs/>
          <w:sz w:val="24"/>
          <w:szCs w:val="24"/>
        </w:rPr>
        <w:t>/intercultural competencies)</w:t>
      </w:r>
    </w:p>
    <w:p w14:paraId="0203A743" w14:textId="77777777" w:rsidR="00E04158" w:rsidRPr="007451E3" w:rsidRDefault="00000000">
      <w:pPr>
        <w:numPr>
          <w:ilvl w:val="1"/>
          <w:numId w:val="6"/>
        </w:numPr>
        <w:rPr>
          <w:rFonts w:ascii="Aptos" w:eastAsia="Aptos" w:hAnsi="Aptos" w:cs="Aptos"/>
          <w:sz w:val="24"/>
          <w:szCs w:val="24"/>
        </w:rPr>
      </w:pPr>
      <w:r w:rsidRPr="007451E3">
        <w:rPr>
          <w:rFonts w:ascii="Aptos" w:eastAsia="Aptos" w:hAnsi="Aptos" w:cs="Aptos"/>
          <w:sz w:val="24"/>
          <w:szCs w:val="24"/>
        </w:rPr>
        <w:t>What is the context and cultural/plurilingual background of these learners? </w:t>
      </w:r>
    </w:p>
    <w:p w14:paraId="61346657" w14:textId="77777777" w:rsidR="00E04158" w:rsidRPr="007451E3" w:rsidRDefault="00000000">
      <w:pPr>
        <w:numPr>
          <w:ilvl w:val="1"/>
          <w:numId w:val="6"/>
        </w:numPr>
        <w:rPr>
          <w:rFonts w:ascii="Aptos" w:eastAsia="Aptos" w:hAnsi="Aptos" w:cs="Aptos"/>
          <w:sz w:val="24"/>
          <w:szCs w:val="24"/>
        </w:rPr>
      </w:pPr>
      <w:r w:rsidRPr="007451E3">
        <w:rPr>
          <w:rFonts w:ascii="Aptos" w:eastAsia="Aptos" w:hAnsi="Aptos" w:cs="Aptos"/>
          <w:sz w:val="24"/>
          <w:szCs w:val="24"/>
        </w:rPr>
        <w:t>Considering the context of your learners, what type of scenario (and real-life culminating task) would support their needs within the curriculum? </w:t>
      </w:r>
    </w:p>
    <w:p w14:paraId="32470FDE" w14:textId="77777777" w:rsidR="00E04158" w:rsidRPr="007451E3" w:rsidRDefault="00000000">
      <w:pPr>
        <w:numPr>
          <w:ilvl w:val="1"/>
          <w:numId w:val="6"/>
        </w:numPr>
        <w:rPr>
          <w:rFonts w:ascii="Aptos" w:eastAsia="Aptos" w:hAnsi="Aptos" w:cs="Aptos"/>
          <w:sz w:val="24"/>
          <w:szCs w:val="24"/>
        </w:rPr>
      </w:pPr>
      <w:r w:rsidRPr="007451E3">
        <w:rPr>
          <w:rFonts w:ascii="Aptos" w:eastAsia="Aptos" w:hAnsi="Aptos" w:cs="Aptos"/>
          <w:sz w:val="24"/>
          <w:szCs w:val="24"/>
        </w:rPr>
        <w:t>What are the expected learning outcomes (goals) of this scenario?</w:t>
      </w:r>
    </w:p>
    <w:p w14:paraId="6B389695" w14:textId="77777777" w:rsidR="00E04158" w:rsidRPr="007451E3" w:rsidRDefault="00000000">
      <w:pPr>
        <w:numPr>
          <w:ilvl w:val="1"/>
          <w:numId w:val="6"/>
        </w:numPr>
        <w:rPr>
          <w:rFonts w:ascii="Aptos" w:eastAsia="Aptos" w:hAnsi="Aptos" w:cs="Aptos"/>
          <w:sz w:val="24"/>
          <w:szCs w:val="24"/>
        </w:rPr>
      </w:pPr>
      <w:r w:rsidRPr="007451E3">
        <w:rPr>
          <w:rFonts w:ascii="Aptos" w:eastAsia="Aptos" w:hAnsi="Aptos" w:cs="Aptos"/>
          <w:sz w:val="24"/>
          <w:szCs w:val="24"/>
        </w:rPr>
        <w:t>What are some potential stumbling blocks that you might encounter? </w:t>
      </w:r>
    </w:p>
    <w:p w14:paraId="74F5B149" w14:textId="131DF1B1" w:rsidR="00E04158" w:rsidRPr="007451E3" w:rsidRDefault="00000000">
      <w:pPr>
        <w:numPr>
          <w:ilvl w:val="0"/>
          <w:numId w:val="6"/>
        </w:numPr>
        <w:rPr>
          <w:rFonts w:ascii="Aptos" w:eastAsia="Aptos" w:hAnsi="Aptos" w:cs="Aptos"/>
          <w:sz w:val="24"/>
          <w:szCs w:val="24"/>
        </w:rPr>
      </w:pPr>
      <w:r w:rsidRPr="007451E3">
        <w:rPr>
          <w:rFonts w:ascii="Aptos" w:eastAsia="Aptos" w:hAnsi="Aptos" w:cs="Aptos"/>
          <w:sz w:val="24"/>
          <w:szCs w:val="24"/>
        </w:rPr>
        <w:t>Now that you have drafted your scenario, select relevant CAN DO descriptors of communicative activities</w:t>
      </w:r>
      <w:r w:rsidRPr="007451E3">
        <w:rPr>
          <w:rFonts w:ascii="Aptos" w:eastAsia="Aptos" w:hAnsi="Aptos" w:cs="Aptos"/>
          <w:i/>
          <w:iCs/>
          <w:sz w:val="24"/>
          <w:szCs w:val="24"/>
        </w:rPr>
        <w:t xml:space="preserve">. </w:t>
      </w:r>
      <w:r w:rsidRPr="007451E3">
        <w:rPr>
          <w:rFonts w:ascii="Aptos" w:eastAsia="Aptos" w:hAnsi="Aptos" w:cs="Aptos"/>
          <w:sz w:val="24"/>
          <w:szCs w:val="24"/>
        </w:rPr>
        <w:t>The CEFR Descriptors Catalogue is provided</w:t>
      </w:r>
      <w:r w:rsidR="00547409">
        <w:rPr>
          <w:rFonts w:ascii="Aptos" w:eastAsia="Aptos" w:hAnsi="Aptos" w:cs="Aptos"/>
          <w:sz w:val="24"/>
          <w:szCs w:val="24"/>
        </w:rPr>
        <w:t xml:space="preserve"> (below)</w:t>
      </w:r>
      <w:r w:rsidRPr="007451E3">
        <w:rPr>
          <w:rFonts w:ascii="Aptos" w:eastAsia="Aptos" w:hAnsi="Aptos" w:cs="Aptos"/>
          <w:sz w:val="24"/>
          <w:szCs w:val="24"/>
        </w:rPr>
        <w:t xml:space="preserve"> to help you select the relevant descriptors (alternatively you can refer directly to the CEFR Companion Volume descriptors. The CEFR descriptors (searchable) document is very helpful). Having a series of descriptors will help you make explicit the main actions that learners will be able to perform by the end of the scenario while doing the culminating task. You may wish/need to slightly adapt the descriptors to meet specific aspects of your scenario (e.g. specifying the type of text or type of situation). </w:t>
      </w:r>
    </w:p>
    <w:p w14:paraId="109F3196" w14:textId="77777777" w:rsidR="00E04158" w:rsidRPr="007451E3" w:rsidRDefault="00000000">
      <w:pPr>
        <w:numPr>
          <w:ilvl w:val="0"/>
          <w:numId w:val="6"/>
        </w:numPr>
        <w:rPr>
          <w:rFonts w:ascii="Aptos" w:eastAsia="Aptos" w:hAnsi="Aptos" w:cs="Aptos"/>
          <w:sz w:val="24"/>
          <w:szCs w:val="24"/>
        </w:rPr>
      </w:pPr>
      <w:r w:rsidRPr="007451E3">
        <w:rPr>
          <w:rFonts w:ascii="Aptos" w:eastAsia="Aptos" w:hAnsi="Aptos" w:cs="Aptos"/>
          <w:sz w:val="24"/>
          <w:szCs w:val="24"/>
        </w:rPr>
        <w:t xml:space="preserve">Now that you have your list of communicative activities (the “What”), you will need to identify the different competences that come into play (the “How”). </w:t>
      </w:r>
      <w:r w:rsidRPr="007451E3">
        <w:rPr>
          <w:rFonts w:ascii="Aptos" w:eastAsia="Aptos" w:hAnsi="Aptos" w:cs="Aptos"/>
          <w:i/>
          <w:iCs/>
          <w:sz w:val="24"/>
          <w:szCs w:val="24"/>
        </w:rPr>
        <w:t>How are students going to do what they are expected to do? Which competences (linguistic, pragmatic/sociolinguistic, sociocultural, plurilingual/pluricultural) do they need to perform the action? And, in turn, which competences can they develop by performing the action?</w:t>
      </w:r>
      <w:r w:rsidRPr="007451E3">
        <w:rPr>
          <w:rFonts w:ascii="Aptos" w:eastAsia="Aptos" w:hAnsi="Aptos" w:cs="Aptos"/>
          <w:sz w:val="24"/>
          <w:szCs w:val="24"/>
        </w:rPr>
        <w:t xml:space="preserve"> Use the CEFR descriptors to help you.  </w:t>
      </w:r>
    </w:p>
    <w:p w14:paraId="463E08E8" w14:textId="77777777" w:rsidR="00E04158" w:rsidRPr="007451E3" w:rsidRDefault="00000000">
      <w:pPr>
        <w:numPr>
          <w:ilvl w:val="0"/>
          <w:numId w:val="6"/>
        </w:numPr>
        <w:rPr>
          <w:rFonts w:ascii="Aptos" w:eastAsia="Aptos" w:hAnsi="Aptos" w:cs="Aptos"/>
          <w:sz w:val="24"/>
          <w:szCs w:val="24"/>
        </w:rPr>
      </w:pPr>
      <w:r w:rsidRPr="007451E3">
        <w:rPr>
          <w:rFonts w:ascii="Aptos" w:eastAsia="Aptos" w:hAnsi="Aptos" w:cs="Aptos"/>
          <w:sz w:val="24"/>
          <w:szCs w:val="24"/>
        </w:rPr>
        <w:t xml:space="preserve">Other dimensions are involved across the scenario, such as Mediation (especially in group work) and Communication Strategies, for example </w:t>
      </w:r>
      <w:r w:rsidRPr="007451E3">
        <w:rPr>
          <w:rFonts w:ascii="Aptos" w:eastAsia="Aptos" w:hAnsi="Aptos" w:cs="Aptos"/>
          <w:i/>
          <w:iCs/>
          <w:sz w:val="24"/>
          <w:szCs w:val="24"/>
        </w:rPr>
        <w:t>How they can students facilitate collaborative interaction with peers in the</w:t>
      </w:r>
      <w:r w:rsidRPr="007451E3">
        <w:rPr>
          <w:rFonts w:ascii="Aptos" w:eastAsia="Aptos" w:hAnsi="Aptos" w:cs="Aptos"/>
          <w:sz w:val="24"/>
          <w:szCs w:val="24"/>
        </w:rPr>
        <w:t xml:space="preserve"> </w:t>
      </w:r>
      <w:r w:rsidRPr="007451E3">
        <w:rPr>
          <w:rFonts w:ascii="Aptos" w:eastAsia="Aptos" w:hAnsi="Aptos" w:cs="Aptos"/>
          <w:i/>
          <w:iCs/>
          <w:sz w:val="24"/>
          <w:szCs w:val="24"/>
        </w:rPr>
        <w:t xml:space="preserve">scenario? What interaction </w:t>
      </w:r>
      <w:r w:rsidRPr="007451E3">
        <w:rPr>
          <w:rFonts w:ascii="Aptos" w:eastAsia="Aptos" w:hAnsi="Aptos" w:cs="Aptos"/>
          <w:i/>
          <w:iCs/>
          <w:sz w:val="24"/>
          <w:szCs w:val="24"/>
        </w:rPr>
        <w:lastRenderedPageBreak/>
        <w:t xml:space="preserve">strategies are they using in the groups? </w:t>
      </w:r>
      <w:r w:rsidRPr="007451E3">
        <w:rPr>
          <w:rFonts w:ascii="Aptos" w:eastAsia="Aptos" w:hAnsi="Aptos" w:cs="Aptos"/>
          <w:sz w:val="24"/>
          <w:szCs w:val="24"/>
        </w:rPr>
        <w:t xml:space="preserve">Descriptors for Mediation and Communication Strategies are available in the CEFR Companion Volume. </w:t>
      </w:r>
    </w:p>
    <w:p w14:paraId="54E875B6" w14:textId="77777777" w:rsidR="00E04158" w:rsidRPr="007451E3" w:rsidRDefault="00000000">
      <w:pPr>
        <w:numPr>
          <w:ilvl w:val="0"/>
          <w:numId w:val="6"/>
        </w:numPr>
        <w:rPr>
          <w:rFonts w:ascii="Aptos" w:eastAsia="Aptos" w:hAnsi="Aptos" w:cs="Aptos"/>
          <w:sz w:val="24"/>
          <w:szCs w:val="24"/>
        </w:rPr>
      </w:pPr>
      <w:r w:rsidRPr="007451E3">
        <w:rPr>
          <w:rFonts w:ascii="Aptos" w:eastAsia="Aptos" w:hAnsi="Aptos" w:cs="Aptos"/>
          <w:sz w:val="24"/>
          <w:szCs w:val="24"/>
        </w:rPr>
        <w:t>Once you have finalized Part 1, you will be ready to create your lesson plans for the different steps (Part 2: Scenario Development). Remember that these steps will prepare the students to accomplish the culminating task at the end of the scenario. </w:t>
      </w:r>
    </w:p>
    <w:p w14:paraId="74F8A141" w14:textId="77777777" w:rsidR="00E04158" w:rsidRPr="007451E3" w:rsidRDefault="00000000">
      <w:pPr>
        <w:numPr>
          <w:ilvl w:val="0"/>
          <w:numId w:val="6"/>
        </w:numPr>
        <w:rPr>
          <w:rFonts w:ascii="Aptos" w:eastAsia="Aptos" w:hAnsi="Aptos" w:cs="Aptos"/>
          <w:sz w:val="24"/>
          <w:szCs w:val="24"/>
        </w:rPr>
      </w:pPr>
      <w:r w:rsidRPr="007451E3">
        <w:rPr>
          <w:rFonts w:ascii="Aptos" w:eastAsia="Aptos" w:hAnsi="Aptos" w:cs="Aptos"/>
          <w:sz w:val="24"/>
          <w:szCs w:val="24"/>
        </w:rPr>
        <w:t>The only thing that remains is creating your assessment tools. There are two parts to this: an Observation Checklist to be used by the teacher, and the Self-Assessment Checklist to be used by students. The empty templates are organized around the same categories that you have used in Part 1 # 8, 9, 10 and 11. Remember that descriptors used in the Self-Assessment Checklist need to be in plain language, so that learners can more easily understand. This will imply some rewording of the descriptors.  Examples for each of these two checklists are provided below to help you in this process. You may also consider reflection on your students’ ability to learn. In the checklist there is an optional line for this. A list of statements is provided at the link ‘Ability to learn’ in the table above.</w:t>
      </w:r>
    </w:p>
    <w:p w14:paraId="014F282A" w14:textId="77777777" w:rsidR="00E04158" w:rsidRPr="007451E3" w:rsidRDefault="00000000">
      <w:pPr>
        <w:numPr>
          <w:ilvl w:val="0"/>
          <w:numId w:val="6"/>
        </w:numPr>
        <w:rPr>
          <w:rFonts w:ascii="Aptos" w:eastAsia="Aptos" w:hAnsi="Aptos" w:cs="Aptos"/>
          <w:sz w:val="24"/>
          <w:szCs w:val="24"/>
        </w:rPr>
      </w:pPr>
      <w:r w:rsidRPr="007451E3">
        <w:rPr>
          <w:rFonts w:ascii="Aptos" w:eastAsia="Aptos" w:hAnsi="Aptos" w:cs="Aptos"/>
          <w:sz w:val="24"/>
          <w:szCs w:val="24"/>
        </w:rPr>
        <w:t>For purposes of assigning grades, you can use the Assessment Rubric (see link to separate document in the quick reference chart). This rubric is mainly meant to be used for summative assessment purposes; however, you may also decide to use it as part of the formative assessment to give students a sense of the areas they need to strengthen. </w:t>
      </w:r>
    </w:p>
    <w:p w14:paraId="3DC9B9A2" w14:textId="77777777" w:rsidR="00AD139A" w:rsidRDefault="00AD139A" w:rsidP="00AD139A">
      <w:pPr>
        <w:rPr>
          <w:rFonts w:ascii="Aptos" w:eastAsia="Aptos" w:hAnsi="Aptos" w:cs="Aptos"/>
        </w:rPr>
      </w:pPr>
    </w:p>
    <w:tbl>
      <w:tblPr>
        <w:tblStyle w:val="afc"/>
        <w:tblW w:w="9618" w:type="dxa"/>
        <w:tblLayout w:type="fixed"/>
        <w:tblLook w:val="0400" w:firstRow="0" w:lastRow="0" w:firstColumn="0" w:lastColumn="0" w:noHBand="0" w:noVBand="1"/>
      </w:tblPr>
      <w:tblGrid>
        <w:gridCol w:w="416"/>
        <w:gridCol w:w="2551"/>
        <w:gridCol w:w="2977"/>
        <w:gridCol w:w="3674"/>
      </w:tblGrid>
      <w:tr w:rsidR="00AD139A" w14:paraId="055F2329" w14:textId="77777777" w:rsidTr="0073312D">
        <w:tc>
          <w:tcPr>
            <w:tcW w:w="9618" w:type="dxa"/>
            <w:gridSpan w:val="4"/>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1F0B08D9" w14:textId="77777777" w:rsidR="00AD139A" w:rsidRDefault="00AD139A" w:rsidP="0073312D">
            <w:pPr>
              <w:rPr>
                <w:rFonts w:ascii="Aptos" w:eastAsia="Aptos" w:hAnsi="Aptos" w:cs="Aptos"/>
                <w:b/>
                <w:bCs/>
                <w:color w:val="FFFFFF"/>
                <w:sz w:val="24"/>
                <w:szCs w:val="24"/>
              </w:rPr>
            </w:pPr>
            <w:r>
              <w:rPr>
                <w:rFonts w:ascii="Aptos" w:eastAsia="Aptos" w:hAnsi="Aptos" w:cs="Aptos"/>
                <w:b/>
                <w:bCs/>
                <w:color w:val="FFFFFF"/>
                <w:sz w:val="24"/>
                <w:szCs w:val="24"/>
              </w:rPr>
              <w:t>Quick Reference Chart</w:t>
            </w:r>
          </w:p>
        </w:tc>
      </w:tr>
      <w:tr w:rsidR="00AD139A" w14:paraId="7606D095" w14:textId="77777777" w:rsidTr="0073312D">
        <w:tc>
          <w:tcPr>
            <w:tcW w:w="416" w:type="dxa"/>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2DD48375" w14:textId="77777777" w:rsidR="00AD139A" w:rsidRDefault="00AD139A" w:rsidP="0073312D">
            <w:pPr>
              <w:rPr>
                <w:rFonts w:ascii="Aptos" w:eastAsia="Aptos" w:hAnsi="Aptos" w:cs="Aptos"/>
                <w:color w:val="FFFFFF"/>
              </w:rPr>
            </w:pPr>
            <w:r>
              <w:rPr>
                <w:rFonts w:ascii="Aptos" w:eastAsia="Aptos" w:hAnsi="Aptos" w:cs="Aptos"/>
                <w:b/>
                <w:bCs/>
                <w:color w:val="FFFFFF"/>
              </w:rPr>
              <w:t>#</w:t>
            </w:r>
          </w:p>
        </w:tc>
        <w:tc>
          <w:tcPr>
            <w:tcW w:w="2551" w:type="dxa"/>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4CC3F5BF" w14:textId="77777777" w:rsidR="00AD139A" w:rsidRDefault="00AD139A" w:rsidP="0073312D">
            <w:pPr>
              <w:rPr>
                <w:rFonts w:ascii="Aptos" w:eastAsia="Aptos" w:hAnsi="Aptos" w:cs="Aptos"/>
                <w:color w:val="FFFFFF"/>
                <w:sz w:val="20"/>
                <w:szCs w:val="20"/>
              </w:rPr>
            </w:pPr>
            <w:r>
              <w:rPr>
                <w:rFonts w:ascii="Aptos" w:eastAsia="Aptos" w:hAnsi="Aptos" w:cs="Aptos"/>
                <w:b/>
                <w:bCs/>
                <w:color w:val="FFFFFF"/>
                <w:sz w:val="20"/>
                <w:szCs w:val="20"/>
              </w:rPr>
              <w:t>Name of Document</w:t>
            </w:r>
          </w:p>
        </w:tc>
        <w:tc>
          <w:tcPr>
            <w:tcW w:w="2977" w:type="dxa"/>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14B77CDA" w14:textId="77777777" w:rsidR="00AD139A" w:rsidRDefault="00AD139A" w:rsidP="0073312D">
            <w:pPr>
              <w:rPr>
                <w:rFonts w:ascii="Aptos" w:eastAsia="Aptos" w:hAnsi="Aptos" w:cs="Aptos"/>
                <w:color w:val="FFFFFF"/>
                <w:sz w:val="20"/>
                <w:szCs w:val="20"/>
              </w:rPr>
            </w:pPr>
            <w:r>
              <w:rPr>
                <w:rFonts w:ascii="Aptos" w:eastAsia="Aptos" w:hAnsi="Aptos" w:cs="Aptos"/>
                <w:b/>
                <w:bCs/>
                <w:color w:val="FFFFFF"/>
                <w:sz w:val="20"/>
                <w:szCs w:val="20"/>
              </w:rPr>
              <w:t>Focus/Purpose</w:t>
            </w:r>
          </w:p>
        </w:tc>
        <w:tc>
          <w:tcPr>
            <w:tcW w:w="3674" w:type="dxa"/>
            <w:tcBorders>
              <w:top w:val="single" w:sz="8" w:space="0" w:color="000000"/>
              <w:left w:val="single" w:sz="8" w:space="0" w:color="000000"/>
              <w:bottom w:val="single" w:sz="8" w:space="0" w:color="000000"/>
              <w:right w:val="single" w:sz="8" w:space="0" w:color="000000"/>
            </w:tcBorders>
            <w:shd w:val="clear" w:color="auto" w:fill="243673"/>
            <w:tcMar>
              <w:top w:w="100" w:type="dxa"/>
              <w:left w:w="100" w:type="dxa"/>
              <w:bottom w:w="100" w:type="dxa"/>
              <w:right w:w="100" w:type="dxa"/>
            </w:tcMar>
          </w:tcPr>
          <w:p w14:paraId="5E3D7037" w14:textId="77777777" w:rsidR="00AD139A" w:rsidRDefault="00AD139A" w:rsidP="0073312D">
            <w:pPr>
              <w:rPr>
                <w:rFonts w:ascii="Aptos" w:eastAsia="Aptos" w:hAnsi="Aptos" w:cs="Aptos"/>
                <w:color w:val="FFFFFF"/>
                <w:sz w:val="20"/>
                <w:szCs w:val="20"/>
              </w:rPr>
            </w:pPr>
            <w:r>
              <w:rPr>
                <w:rFonts w:ascii="Aptos" w:eastAsia="Aptos" w:hAnsi="Aptos" w:cs="Aptos"/>
                <w:b/>
                <w:bCs/>
                <w:color w:val="FFFFFF"/>
                <w:sz w:val="20"/>
                <w:szCs w:val="20"/>
              </w:rPr>
              <w:t>Hyperlink</w:t>
            </w:r>
          </w:p>
        </w:tc>
      </w:tr>
      <w:tr w:rsidR="00AD139A" w14:paraId="476C7891" w14:textId="77777777" w:rsidTr="0073312D">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CE5D4"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1</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9E00B"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CEFR Companion Volume (2020) Descriptors tool (English)</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4BA5E" w14:textId="77777777" w:rsidR="00AD139A" w:rsidRDefault="00AD139A" w:rsidP="0073312D">
            <w:pPr>
              <w:rPr>
                <w:rFonts w:ascii="Aptos" w:eastAsia="Aptos" w:hAnsi="Aptos" w:cs="Aptos"/>
                <w:sz w:val="20"/>
                <w:szCs w:val="20"/>
              </w:rPr>
            </w:pPr>
            <w:r>
              <w:rPr>
                <w:rFonts w:ascii="Aptos" w:eastAsia="Aptos" w:hAnsi="Aptos" w:cs="Aptos"/>
                <w:sz w:val="20"/>
                <w:szCs w:val="20"/>
              </w:rPr>
              <w:t>provides the full set of CEFR descriptors in English to be used in the template </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EA714" w14:textId="77777777" w:rsidR="00AD139A" w:rsidRDefault="00AD139A" w:rsidP="0073312D">
            <w:pPr>
              <w:rPr>
                <w:rFonts w:ascii="Aptos" w:eastAsia="Aptos" w:hAnsi="Aptos" w:cs="Aptos"/>
                <w:sz w:val="20"/>
                <w:szCs w:val="20"/>
              </w:rPr>
            </w:pPr>
            <w:hyperlink r:id="rId9">
              <w:r>
                <w:rPr>
                  <w:rFonts w:ascii="Aptos" w:eastAsia="Aptos" w:hAnsi="Aptos" w:cs="Aptos"/>
                  <w:color w:val="000000"/>
                  <w:sz w:val="20"/>
                  <w:szCs w:val="20"/>
                  <w:u w:val="single"/>
                </w:rPr>
                <w:t>https://rexquist.com/cefr/</w:t>
              </w:r>
            </w:hyperlink>
            <w:r>
              <w:t xml:space="preserve"> </w:t>
            </w:r>
            <w:r>
              <w:rPr>
                <w:rFonts w:ascii="Aptos" w:eastAsia="Aptos" w:hAnsi="Aptos" w:cs="Aptos"/>
                <w:sz w:val="20"/>
                <w:szCs w:val="20"/>
              </w:rPr>
              <w:t> </w:t>
            </w:r>
          </w:p>
        </w:tc>
      </w:tr>
      <w:tr w:rsidR="00AD139A" w14:paraId="6C4D4718" w14:textId="77777777" w:rsidTr="0073312D">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A2566"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2</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981E9"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 xml:space="preserve">CEFR Companion Volume (2020) Descriptors in 5 languages (English, French, </w:t>
            </w:r>
            <w:proofErr w:type="spellStart"/>
            <w:r>
              <w:rPr>
                <w:rFonts w:ascii="Aptos" w:eastAsia="Aptos" w:hAnsi="Aptos" w:cs="Aptos"/>
                <w:b/>
                <w:bCs/>
                <w:color w:val="243673"/>
                <w:sz w:val="20"/>
                <w:szCs w:val="20"/>
              </w:rPr>
              <w:t>german</w:t>
            </w:r>
            <w:proofErr w:type="spellEnd"/>
            <w:r>
              <w:rPr>
                <w:rFonts w:ascii="Aptos" w:eastAsia="Aptos" w:hAnsi="Aptos" w:cs="Aptos"/>
                <w:b/>
                <w:bCs/>
                <w:color w:val="243673"/>
                <w:sz w:val="20"/>
                <w:szCs w:val="20"/>
              </w:rPr>
              <w:t>, Spanish, Italian) File excel</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9A8E7" w14:textId="77777777" w:rsidR="00AD139A" w:rsidRDefault="00AD139A" w:rsidP="0073312D">
            <w:pPr>
              <w:rPr>
                <w:rFonts w:ascii="Aptos" w:eastAsia="Aptos" w:hAnsi="Aptos" w:cs="Aptos"/>
                <w:sz w:val="20"/>
                <w:szCs w:val="20"/>
              </w:rPr>
            </w:pPr>
            <w:r>
              <w:rPr>
                <w:rFonts w:ascii="Aptos" w:eastAsia="Aptos" w:hAnsi="Aptos" w:cs="Aptos"/>
                <w:sz w:val="20"/>
                <w:szCs w:val="20"/>
              </w:rPr>
              <w:t xml:space="preserve">The full set of CEFR descriptors </w:t>
            </w:r>
            <w:r>
              <w:rPr>
                <w:rFonts w:ascii="Aptos" w:eastAsia="Aptos" w:hAnsi="Aptos" w:cs="Aptos"/>
                <w:b/>
                <w:bCs/>
                <w:sz w:val="20"/>
                <w:szCs w:val="20"/>
              </w:rPr>
              <w:t>in 5 languages (one per tab)</w:t>
            </w:r>
            <w:r>
              <w:rPr>
                <w:rFonts w:ascii="Aptos" w:eastAsia="Aptos" w:hAnsi="Aptos" w:cs="Aptos"/>
                <w:sz w:val="20"/>
                <w:szCs w:val="20"/>
              </w:rPr>
              <w:t xml:space="preserve"> in excel format</w:t>
            </w:r>
          </w:p>
          <w:p w14:paraId="353176EB" w14:textId="77777777" w:rsidR="00AD139A" w:rsidRDefault="00AD139A" w:rsidP="0073312D">
            <w:pPr>
              <w:rPr>
                <w:rFonts w:ascii="Aptos" w:eastAsia="Aptos" w:hAnsi="Aptos" w:cs="Aptos"/>
                <w:sz w:val="20"/>
                <w:szCs w:val="20"/>
              </w:rPr>
            </w:pPr>
            <w:r>
              <w:rPr>
                <w:rFonts w:ascii="Aptos" w:eastAsia="Aptos" w:hAnsi="Aptos" w:cs="Aptos"/>
                <w:sz w:val="20"/>
                <w:szCs w:val="20"/>
              </w:rPr>
              <w:t>It allows to select relevant descriptors</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BD669" w14:textId="77777777" w:rsidR="00AD139A" w:rsidRDefault="00AD139A" w:rsidP="0073312D">
            <w:pPr>
              <w:rPr>
                <w:rFonts w:ascii="Aptos" w:eastAsia="Aptos" w:hAnsi="Aptos" w:cs="Aptos"/>
                <w:sz w:val="20"/>
                <w:szCs w:val="20"/>
              </w:rPr>
            </w:pPr>
            <w:hyperlink r:id="rId10">
              <w:r>
                <w:rPr>
                  <w:rFonts w:ascii="Aptos" w:eastAsia="Aptos" w:hAnsi="Aptos" w:cs="Aptos"/>
                  <w:color w:val="000000"/>
                  <w:sz w:val="20"/>
                  <w:szCs w:val="20"/>
                  <w:u w:val="single"/>
                </w:rPr>
                <w:t>CEFR Descriptors (Searchable)</w:t>
              </w:r>
            </w:hyperlink>
            <w:r>
              <w:t xml:space="preserve"> </w:t>
            </w:r>
          </w:p>
        </w:tc>
      </w:tr>
      <w:tr w:rsidR="00AD139A" w14:paraId="0E97CDE1" w14:textId="77777777" w:rsidTr="0073312D">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D5276"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3</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16489"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CEFR Companion Volume (2020)</w:t>
            </w:r>
          </w:p>
          <w:p w14:paraId="2EBADCB9"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(new updated and extended edition of the CEFR)</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26FE9" w14:textId="77777777" w:rsidR="00AD139A" w:rsidRDefault="00AD139A" w:rsidP="0073312D">
            <w:pPr>
              <w:rPr>
                <w:rFonts w:ascii="Aptos" w:eastAsia="Aptos" w:hAnsi="Aptos" w:cs="Aptos"/>
                <w:sz w:val="20"/>
                <w:szCs w:val="20"/>
              </w:rPr>
            </w:pPr>
            <w:r>
              <w:rPr>
                <w:rFonts w:ascii="Aptos" w:eastAsia="Aptos" w:hAnsi="Aptos" w:cs="Aptos"/>
                <w:sz w:val="20"/>
                <w:szCs w:val="20"/>
              </w:rPr>
              <w:t>The original document, provides all the descriptors, the rationales for the scale, examples of domains, and explanations of the CEFR key concepts</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C1B28" w14:textId="77777777" w:rsidR="00AD139A" w:rsidRDefault="00AD139A" w:rsidP="0073312D">
            <w:pPr>
              <w:rPr>
                <w:rFonts w:ascii="Aptos" w:eastAsia="Aptos" w:hAnsi="Aptos" w:cs="Aptos"/>
                <w:sz w:val="20"/>
                <w:szCs w:val="20"/>
              </w:rPr>
            </w:pPr>
            <w:hyperlink r:id="rId11">
              <w:r>
                <w:rPr>
                  <w:rFonts w:ascii="Aptos" w:eastAsia="Aptos" w:hAnsi="Aptos" w:cs="Aptos"/>
                  <w:color w:val="000000"/>
                  <w:sz w:val="20"/>
                  <w:szCs w:val="20"/>
                  <w:u w:val="single"/>
                </w:rPr>
                <w:t>https://www.coe.int/en/web/common-european-framework-reference-languages/cefr-companion-volume-and-its-language-versions</w:t>
              </w:r>
            </w:hyperlink>
            <w:r>
              <w:t xml:space="preserve"> </w:t>
            </w:r>
          </w:p>
          <w:p w14:paraId="452A9B62" w14:textId="77777777" w:rsidR="00AD139A" w:rsidRDefault="00AD139A" w:rsidP="0073312D">
            <w:pPr>
              <w:rPr>
                <w:rFonts w:ascii="Aptos" w:eastAsia="Aptos" w:hAnsi="Aptos" w:cs="Aptos"/>
                <w:sz w:val="20"/>
                <w:szCs w:val="20"/>
              </w:rPr>
            </w:pPr>
            <w:r>
              <w:rPr>
                <w:rFonts w:ascii="Aptos" w:eastAsia="Aptos" w:hAnsi="Aptos" w:cs="Aptos"/>
                <w:sz w:val="20"/>
                <w:szCs w:val="20"/>
              </w:rPr>
              <w:t>the page from which the CEFR 2020 can be downloaded as a .pdf in multiple languages</w:t>
            </w:r>
          </w:p>
        </w:tc>
      </w:tr>
      <w:tr w:rsidR="00AD139A" w14:paraId="505D77CF" w14:textId="77777777" w:rsidTr="0073312D">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1EAF4"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lastRenderedPageBreak/>
              <w:t>4</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F9803"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Ability to learn</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79138" w14:textId="77777777" w:rsidR="00AD139A" w:rsidRDefault="00AD139A" w:rsidP="0073312D">
            <w:pPr>
              <w:rPr>
                <w:rFonts w:ascii="Aptos" w:eastAsia="Aptos" w:hAnsi="Aptos" w:cs="Aptos"/>
                <w:sz w:val="20"/>
                <w:szCs w:val="20"/>
              </w:rPr>
            </w:pPr>
            <w:r>
              <w:rPr>
                <w:rFonts w:ascii="Aptos" w:eastAsia="Aptos" w:hAnsi="Aptos" w:cs="Aptos"/>
                <w:sz w:val="20"/>
                <w:szCs w:val="20"/>
              </w:rPr>
              <w:t>provides examples of learning strategies</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ADAEC" w14:textId="77777777" w:rsidR="00AD139A" w:rsidRDefault="00AD139A" w:rsidP="0073312D">
            <w:pPr>
              <w:rPr>
                <w:rFonts w:ascii="Aptos" w:eastAsia="Aptos" w:hAnsi="Aptos" w:cs="Aptos"/>
                <w:sz w:val="20"/>
                <w:szCs w:val="20"/>
              </w:rPr>
            </w:pPr>
            <w:hyperlink r:id="rId12">
              <w:r>
                <w:rPr>
                  <w:rFonts w:ascii="Aptos" w:eastAsia="Aptos" w:hAnsi="Aptos" w:cs="Aptos"/>
                  <w:color w:val="000000"/>
                  <w:sz w:val="20"/>
                  <w:szCs w:val="20"/>
                  <w:u w:val="single"/>
                </w:rPr>
                <w:t>https://docs.google.com/document/d/1IrsO0WAW8J1brdk0lQxkK17nAbY2zljKwepFsuspL5k/edit</w:t>
              </w:r>
            </w:hyperlink>
            <w:r>
              <w:rPr>
                <w:rFonts w:ascii="Aptos" w:eastAsia="Aptos" w:hAnsi="Aptos" w:cs="Aptos"/>
                <w:sz w:val="20"/>
                <w:szCs w:val="20"/>
              </w:rPr>
              <w:t> </w:t>
            </w:r>
          </w:p>
        </w:tc>
      </w:tr>
      <w:tr w:rsidR="00AD139A" w14:paraId="2E2E4E52" w14:textId="77777777" w:rsidTr="0073312D">
        <w:tc>
          <w:tcPr>
            <w:tcW w:w="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A2581"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5</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D8F84" w14:textId="77777777" w:rsidR="00AD139A" w:rsidRDefault="00AD139A" w:rsidP="0073312D">
            <w:pPr>
              <w:rPr>
                <w:rFonts w:ascii="Aptos" w:eastAsia="Aptos" w:hAnsi="Aptos" w:cs="Aptos"/>
                <w:b/>
                <w:bCs/>
                <w:color w:val="243673"/>
                <w:sz w:val="20"/>
                <w:szCs w:val="20"/>
              </w:rPr>
            </w:pPr>
            <w:r>
              <w:rPr>
                <w:rFonts w:ascii="Aptos" w:eastAsia="Aptos" w:hAnsi="Aptos" w:cs="Aptos"/>
                <w:b/>
                <w:bCs/>
                <w:color w:val="243673"/>
                <w:sz w:val="20"/>
                <w:szCs w:val="20"/>
              </w:rPr>
              <w:t>Assessment Rubric</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7A9FF" w14:textId="77777777" w:rsidR="00AD139A" w:rsidRDefault="00AD139A" w:rsidP="0073312D">
            <w:pPr>
              <w:rPr>
                <w:rFonts w:ascii="Aptos" w:eastAsia="Aptos" w:hAnsi="Aptos" w:cs="Aptos"/>
                <w:sz w:val="20"/>
                <w:szCs w:val="20"/>
              </w:rPr>
            </w:pPr>
            <w:r>
              <w:rPr>
                <w:rFonts w:ascii="Aptos" w:eastAsia="Aptos" w:hAnsi="Aptos" w:cs="Aptos"/>
                <w:sz w:val="20"/>
                <w:szCs w:val="20"/>
              </w:rPr>
              <w:t>provides rubrics for assigning grades </w:t>
            </w:r>
          </w:p>
        </w:tc>
        <w:tc>
          <w:tcPr>
            <w:tcW w:w="3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17CD3" w14:textId="77777777" w:rsidR="00AD139A" w:rsidRDefault="00AD139A" w:rsidP="0073312D">
            <w:pPr>
              <w:rPr>
                <w:rFonts w:ascii="Aptos" w:eastAsia="Aptos" w:hAnsi="Aptos" w:cs="Aptos"/>
                <w:sz w:val="20"/>
                <w:szCs w:val="20"/>
              </w:rPr>
            </w:pPr>
            <w:hyperlink r:id="rId13">
              <w:r>
                <w:rPr>
                  <w:rFonts w:ascii="Aptos" w:eastAsia="Aptos" w:hAnsi="Aptos" w:cs="Aptos"/>
                  <w:color w:val="000000"/>
                  <w:sz w:val="20"/>
                  <w:szCs w:val="20"/>
                  <w:u w:val="single"/>
                </w:rPr>
                <w:t>https://docs.google.com/document/d/0B3ZYygjUFUx4UUZLTHYzbDZHd28/edit</w:t>
              </w:r>
            </w:hyperlink>
            <w:r>
              <w:rPr>
                <w:rFonts w:ascii="Aptos" w:eastAsia="Aptos" w:hAnsi="Aptos" w:cs="Aptos"/>
                <w:b/>
                <w:bCs/>
                <w:sz w:val="20"/>
                <w:szCs w:val="20"/>
              </w:rPr>
              <w:t> </w:t>
            </w:r>
          </w:p>
        </w:tc>
      </w:tr>
    </w:tbl>
    <w:p w14:paraId="71A3413F" w14:textId="77777777" w:rsidR="00AD139A" w:rsidRDefault="00AD139A" w:rsidP="00AD139A">
      <w:pPr>
        <w:rPr>
          <w:rFonts w:ascii="Aptos" w:eastAsia="Aptos" w:hAnsi="Aptos" w:cs="Aptos"/>
        </w:rPr>
      </w:pPr>
    </w:p>
    <w:sectPr w:rsidR="00AD139A" w:rsidSect="00AD139A">
      <w:headerReference w:type="default" r:id="rId14"/>
      <w:footerReference w:type="default" r:id="rId15"/>
      <w:pgSz w:w="11906" w:h="16838"/>
      <w:pgMar w:top="983"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CF02" w14:textId="77777777" w:rsidR="000B3653" w:rsidRDefault="000B3653">
      <w:pPr>
        <w:spacing w:after="0" w:line="240" w:lineRule="auto"/>
      </w:pPr>
      <w:r>
        <w:separator/>
      </w:r>
    </w:p>
  </w:endnote>
  <w:endnote w:type="continuationSeparator" w:id="0">
    <w:p w14:paraId="025FA338" w14:textId="77777777" w:rsidR="000B3653" w:rsidRDefault="000B3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D4429E4-F6CE-2C42-AE79-958C2DD58C44}"/>
  </w:font>
  <w:font w:name="Noto Sans Symbols">
    <w:panose1 w:val="020B0604020202020204"/>
    <w:charset w:val="00"/>
    <w:family w:val="auto"/>
    <w:pitch w:val="default"/>
    <w:embedRegular r:id="rId2" w:fontKey="{15D5600E-D7B0-854B-9E1C-FB020AD48C02}"/>
  </w:font>
  <w:font w:name="Courier New">
    <w:panose1 w:val="02070309020205020404"/>
    <w:charset w:val="00"/>
    <w:family w:val="modern"/>
    <w:pitch w:val="fixed"/>
    <w:sig w:usb0="E0002AFF" w:usb1="C0007843" w:usb2="00000009" w:usb3="00000000" w:csb0="000001FF" w:csb1="00000000"/>
    <w:embedRegular r:id="rId3" w:fontKey="{75A0290B-D833-A543-B5B6-6AE93CB9370E}"/>
  </w:font>
  <w:font w:name="Times New Roman">
    <w:panose1 w:val="02020603050405020304"/>
    <w:charset w:val="00"/>
    <w:family w:val="roman"/>
    <w:pitch w:val="variable"/>
    <w:sig w:usb0="E0002EFF" w:usb1="C000785B" w:usb2="00000009" w:usb3="00000000" w:csb0="000001FF" w:csb1="00000000"/>
    <w:embedRegular r:id="rId4" w:fontKey="{A5B2E22F-ADBE-9841-ABBA-9450D8E431D5}"/>
    <w:embedBold r:id="rId5" w:fontKey="{11FA356F-623C-CC4F-89AC-71C4E13568B4}"/>
    <w:embedItalic r:id="rId6" w:fontKey="{EDAA096A-4334-7F49-AECF-7044C090F43D}"/>
  </w:font>
  <w:font w:name="Calibri">
    <w:panose1 w:val="020F0502020204030204"/>
    <w:charset w:val="00"/>
    <w:family w:val="swiss"/>
    <w:pitch w:val="variable"/>
    <w:sig w:usb0="E0002AFF" w:usb1="C000247B" w:usb2="00000009" w:usb3="00000000" w:csb0="000001FF" w:csb1="00000000"/>
    <w:embedRegular r:id="rId7" w:fontKey="{7B293588-FD4C-554D-870B-B066FAB4B9E1}"/>
    <w:embedItalic r:id="rId8" w:fontKey="{3E22347F-1C66-E842-97B3-2AFA9165C2E6}"/>
  </w:font>
  <w:font w:name="Play">
    <w:panose1 w:val="04050603000602020202"/>
    <w:charset w:val="00"/>
    <w:family w:val="auto"/>
    <w:pitch w:val="default"/>
    <w:embedRegular r:id="rId9" w:fontKey="{FA3B3CB5-EE33-0342-B5A8-35AA93C1D52A}"/>
  </w:font>
  <w:font w:name="Aptos Display">
    <w:panose1 w:val="020B0004020202020204"/>
    <w:charset w:val="00"/>
    <w:family w:val="roman"/>
    <w:notTrueType/>
    <w:pitch w:val="default"/>
    <w:embedRegular r:id="rId10" w:fontKey="{E3CD02EB-13E9-774A-9326-BE7B98404CC2}"/>
  </w:font>
  <w:font w:name="Aptos">
    <w:panose1 w:val="020B0004020202020204"/>
    <w:charset w:val="00"/>
    <w:family w:val="swiss"/>
    <w:pitch w:val="variable"/>
    <w:sig w:usb0="20000287" w:usb1="00000003" w:usb2="00000000" w:usb3="00000000" w:csb0="0000019F" w:csb1="00000000"/>
    <w:embedRegular r:id="rId11" w:fontKey="{21BC5752-FDC1-7342-AC2B-EAD1960FE5CE}"/>
    <w:embedBold r:id="rId12" w:fontKey="{31B56652-9614-F640-B011-6D8A36976AF3}"/>
    <w:embedItalic r:id="rId13" w:fontKey="{D963F87A-B91A-3343-A738-07A444806AB3}"/>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BE44" w14:textId="77777777" w:rsidR="00E04158" w:rsidRDefault="00000000">
    <w:pPr>
      <w:spacing w:after="0" w:line="240" w:lineRule="auto"/>
      <w:rPr>
        <w:rFonts w:ascii="Helvetica Neue" w:eastAsia="Helvetica Neue" w:hAnsi="Helvetica Neue" w:cs="Helvetica Neue"/>
        <w:color w:val="000000"/>
        <w:sz w:val="18"/>
        <w:szCs w:val="18"/>
      </w:rPr>
    </w:pPr>
    <w:r>
      <w:rPr>
        <w:rFonts w:ascii="Aptos" w:eastAsia="Aptos" w:hAnsi="Aptos" w:cs="Aptos"/>
        <w:b/>
        <w:bCs/>
        <w:color w:val="000000"/>
        <w:sz w:val="13"/>
        <w:szCs w:val="13"/>
      </w:rPr>
      <w:t>Scenario-Template ©LINCDIRE </w:t>
    </w:r>
  </w:p>
  <w:p w14:paraId="04B125D3" w14:textId="77777777" w:rsidR="00E04158" w:rsidRDefault="00000000">
    <w:pPr>
      <w:spacing w:after="0" w:line="240" w:lineRule="auto"/>
      <w:rPr>
        <w:rFonts w:ascii="Helvetica Neue" w:eastAsia="Helvetica Neue" w:hAnsi="Helvetica Neue" w:cs="Helvetica Neue"/>
        <w:color w:val="000000"/>
        <w:sz w:val="18"/>
        <w:szCs w:val="18"/>
      </w:rPr>
    </w:pPr>
    <w:r>
      <w:rPr>
        <w:rFonts w:ascii="Aptos" w:eastAsia="Aptos" w:hAnsi="Aptos" w:cs="Aptos"/>
        <w:color w:val="000000"/>
        <w:sz w:val="11"/>
        <w:szCs w:val="11"/>
      </w:rPr>
      <w:t>This scenario template was developed within the LINCDIRE (Linguistic and Cultural Diversity Reinvented) research project coordinated by Enrica Piccardo. The Scenario-Template ©LINCDIRE cannot be reproduced for commercial purposes or non-educational purposes.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4368" w14:textId="77777777" w:rsidR="000B3653" w:rsidRDefault="000B3653">
      <w:pPr>
        <w:spacing w:after="0" w:line="240" w:lineRule="auto"/>
      </w:pPr>
      <w:r>
        <w:separator/>
      </w:r>
    </w:p>
  </w:footnote>
  <w:footnote w:type="continuationSeparator" w:id="0">
    <w:p w14:paraId="5DC80145" w14:textId="77777777" w:rsidR="000B3653" w:rsidRDefault="000B3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6B8F" w14:textId="77777777" w:rsidR="00E04158" w:rsidRDefault="00E04158">
    <w:pPr>
      <w:pBdr>
        <w:top w:val="nil"/>
        <w:left w:val="nil"/>
        <w:bottom w:val="nil"/>
        <w:right w:val="nil"/>
        <w:between w:val="nil"/>
      </w:pBdr>
      <w:tabs>
        <w:tab w:val="center" w:pos="4819"/>
        <w:tab w:val="right" w:pos="9638"/>
      </w:tabs>
      <w:spacing w:after="0" w:line="240" w:lineRule="auto"/>
      <w:rPr>
        <w:color w:val="000000"/>
      </w:rPr>
    </w:pPr>
  </w:p>
  <w:p w14:paraId="46B81E06" w14:textId="77777777" w:rsidR="00E04158" w:rsidRDefault="00E04158">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A88"/>
    <w:multiLevelType w:val="multilevel"/>
    <w:tmpl w:val="0BB8CE4C"/>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15:restartNumberingAfterBreak="0">
    <w:nsid w:val="04BD69E5"/>
    <w:multiLevelType w:val="multilevel"/>
    <w:tmpl w:val="7B62D9F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2" w15:restartNumberingAfterBreak="0">
    <w:nsid w:val="0BCE7D2C"/>
    <w:multiLevelType w:val="multilevel"/>
    <w:tmpl w:val="851E3316"/>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13A20C4"/>
    <w:multiLevelType w:val="multilevel"/>
    <w:tmpl w:val="736C582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4" w15:restartNumberingAfterBreak="0">
    <w:nsid w:val="1D947DB4"/>
    <w:multiLevelType w:val="multilevel"/>
    <w:tmpl w:val="8DDA5D5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5" w15:restartNumberingAfterBreak="0">
    <w:nsid w:val="270A609B"/>
    <w:multiLevelType w:val="multilevel"/>
    <w:tmpl w:val="B09868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4E56BB"/>
    <w:multiLevelType w:val="multilevel"/>
    <w:tmpl w:val="252C56C6"/>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7" w15:restartNumberingAfterBreak="0">
    <w:nsid w:val="3E2A015B"/>
    <w:multiLevelType w:val="multilevel"/>
    <w:tmpl w:val="74DEDB6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B83DC0"/>
    <w:multiLevelType w:val="multilevel"/>
    <w:tmpl w:val="59A2F298"/>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9" w15:restartNumberingAfterBreak="0">
    <w:nsid w:val="547014CA"/>
    <w:multiLevelType w:val="multilevel"/>
    <w:tmpl w:val="68ECC460"/>
    <w:lvl w:ilvl="0">
      <w:start w:val="9"/>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6C6171"/>
    <w:multiLevelType w:val="multilevel"/>
    <w:tmpl w:val="D550D42A"/>
    <w:lvl w:ilvl="0">
      <w:start w:val="1"/>
      <w:numFmt w:val="decimal"/>
      <w:lvlText w:val="%1."/>
      <w:lvlJc w:val="left"/>
      <w:pPr>
        <w:ind w:left="360" w:hanging="360"/>
      </w:pPr>
      <w:rPr>
        <w:b/>
        <w:bCs/>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62A81918"/>
    <w:multiLevelType w:val="multilevel"/>
    <w:tmpl w:val="E61A0ADC"/>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2" w15:restartNumberingAfterBreak="0">
    <w:nsid w:val="7EA83BB3"/>
    <w:multiLevelType w:val="multilevel"/>
    <w:tmpl w:val="EBF477CC"/>
    <w:lvl w:ilvl="0">
      <w:start w:val="1"/>
      <w:numFmt w:val="lowerLetter"/>
      <w:lvlText w:val="%1."/>
      <w:lvlJc w:val="left"/>
      <w:pPr>
        <w:ind w:left="1287" w:hanging="360"/>
      </w:pPr>
      <w:rPr>
        <w:color w:val="00000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970600636">
    <w:abstractNumId w:val="10"/>
  </w:num>
  <w:num w:numId="2" w16cid:durableId="768307439">
    <w:abstractNumId w:val="4"/>
  </w:num>
  <w:num w:numId="3" w16cid:durableId="1911429322">
    <w:abstractNumId w:val="1"/>
  </w:num>
  <w:num w:numId="4" w16cid:durableId="180245152">
    <w:abstractNumId w:val="3"/>
  </w:num>
  <w:num w:numId="5" w16cid:durableId="472333888">
    <w:abstractNumId w:val="2"/>
  </w:num>
  <w:num w:numId="6" w16cid:durableId="1194878835">
    <w:abstractNumId w:val="7"/>
  </w:num>
  <w:num w:numId="7" w16cid:durableId="1805197520">
    <w:abstractNumId w:val="12"/>
  </w:num>
  <w:num w:numId="8" w16cid:durableId="489832140">
    <w:abstractNumId w:val="9"/>
  </w:num>
  <w:num w:numId="9" w16cid:durableId="1480342547">
    <w:abstractNumId w:val="0"/>
  </w:num>
  <w:num w:numId="10" w16cid:durableId="1253903205">
    <w:abstractNumId w:val="8"/>
  </w:num>
  <w:num w:numId="11" w16cid:durableId="183713161">
    <w:abstractNumId w:val="6"/>
  </w:num>
  <w:num w:numId="12" w16cid:durableId="1306397374">
    <w:abstractNumId w:val="11"/>
  </w:num>
  <w:num w:numId="13" w16cid:durableId="1952398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158"/>
    <w:rsid w:val="000B3653"/>
    <w:rsid w:val="003B2CE7"/>
    <w:rsid w:val="00547409"/>
    <w:rsid w:val="005E4DD7"/>
    <w:rsid w:val="00677354"/>
    <w:rsid w:val="007451E3"/>
    <w:rsid w:val="00774B0B"/>
    <w:rsid w:val="00AD139A"/>
    <w:rsid w:val="00B80DCF"/>
    <w:rsid w:val="00E04158"/>
    <w:rsid w:val="00EE69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A9F9"/>
  <w15:docId w15:val="{AD62CF5F-2A7A-A349-B5FD-92329185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CC50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0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0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CC50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0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0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0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0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0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0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0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014"/>
    <w:rPr>
      <w:rFonts w:eastAsiaTheme="majorEastAsia" w:cstheme="majorBidi"/>
      <w:color w:val="272727" w:themeColor="text1" w:themeTint="D8"/>
    </w:rPr>
  </w:style>
  <w:style w:type="character" w:customStyle="1" w:styleId="TitleChar">
    <w:name w:val="Title Char"/>
    <w:basedOn w:val="DefaultParagraphFont"/>
    <w:link w:val="Title"/>
    <w:uiPriority w:val="10"/>
    <w:rsid w:val="00CC5014"/>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C50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014"/>
    <w:pPr>
      <w:spacing w:before="160"/>
      <w:jc w:val="center"/>
    </w:pPr>
    <w:rPr>
      <w:i/>
      <w:iCs/>
      <w:color w:val="404040" w:themeColor="text1" w:themeTint="BF"/>
    </w:rPr>
  </w:style>
  <w:style w:type="character" w:customStyle="1" w:styleId="QuoteChar">
    <w:name w:val="Quote Char"/>
    <w:basedOn w:val="DefaultParagraphFont"/>
    <w:link w:val="Quote"/>
    <w:uiPriority w:val="29"/>
    <w:rsid w:val="00CC5014"/>
    <w:rPr>
      <w:i/>
      <w:iCs/>
      <w:color w:val="404040" w:themeColor="text1" w:themeTint="BF"/>
    </w:rPr>
  </w:style>
  <w:style w:type="paragraph" w:styleId="ListParagraph">
    <w:name w:val="List Paragraph"/>
    <w:basedOn w:val="Normal"/>
    <w:uiPriority w:val="34"/>
    <w:qFormat/>
    <w:rsid w:val="00CC5014"/>
    <w:pPr>
      <w:ind w:left="720"/>
      <w:contextualSpacing/>
    </w:pPr>
  </w:style>
  <w:style w:type="character" w:styleId="IntenseEmphasis">
    <w:name w:val="Intense Emphasis"/>
    <w:basedOn w:val="DefaultParagraphFont"/>
    <w:uiPriority w:val="21"/>
    <w:qFormat/>
    <w:rsid w:val="00CC5014"/>
    <w:rPr>
      <w:i/>
      <w:iCs/>
      <w:color w:val="0F4761" w:themeColor="accent1" w:themeShade="BF"/>
    </w:rPr>
  </w:style>
  <w:style w:type="paragraph" w:styleId="IntenseQuote">
    <w:name w:val="Intense Quote"/>
    <w:basedOn w:val="Normal"/>
    <w:next w:val="Normal"/>
    <w:link w:val="IntenseQuoteChar"/>
    <w:uiPriority w:val="30"/>
    <w:qFormat/>
    <w:rsid w:val="00CC5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014"/>
    <w:rPr>
      <w:i/>
      <w:iCs/>
      <w:color w:val="0F4761" w:themeColor="accent1" w:themeShade="BF"/>
    </w:rPr>
  </w:style>
  <w:style w:type="character" w:styleId="IntenseReference">
    <w:name w:val="Intense Reference"/>
    <w:basedOn w:val="DefaultParagraphFont"/>
    <w:uiPriority w:val="32"/>
    <w:qFormat/>
    <w:rsid w:val="00CC5014"/>
    <w:rPr>
      <w:b/>
      <w:bCs/>
      <w:smallCaps/>
      <w:color w:val="0F4761" w:themeColor="accent1" w:themeShade="BF"/>
      <w:spacing w:val="5"/>
    </w:rPr>
  </w:style>
  <w:style w:type="table" w:styleId="TableGrid">
    <w:name w:val="Table Grid"/>
    <w:basedOn w:val="TableNormal"/>
    <w:uiPriority w:val="39"/>
    <w:rsid w:val="00CC5014"/>
    <w:pPr>
      <w:spacing w:after="0" w:line="240" w:lineRule="auto"/>
    </w:pPr>
    <w:rPr>
      <w:lang w:val="en-US"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5014"/>
    <w:pPr>
      <w:tabs>
        <w:tab w:val="center" w:pos="4819"/>
        <w:tab w:val="right" w:pos="9638"/>
      </w:tabs>
      <w:spacing w:after="0" w:line="240" w:lineRule="auto"/>
    </w:pPr>
  </w:style>
  <w:style w:type="character" w:customStyle="1" w:styleId="HeaderChar">
    <w:name w:val="Header Char"/>
    <w:basedOn w:val="DefaultParagraphFont"/>
    <w:link w:val="Header"/>
    <w:uiPriority w:val="99"/>
    <w:rsid w:val="00CC5014"/>
    <w:rPr>
      <w:rFonts w:ascii="Calibri" w:eastAsia="Calibri" w:hAnsi="Calibri" w:cs="Calibri"/>
      <w:kern w:val="0"/>
      <w:sz w:val="22"/>
      <w:szCs w:val="22"/>
      <w:lang w:val="en-US" w:eastAsia="it-IT"/>
    </w:rPr>
  </w:style>
  <w:style w:type="paragraph" w:styleId="Footer">
    <w:name w:val="footer"/>
    <w:basedOn w:val="Normal"/>
    <w:link w:val="FooterChar"/>
    <w:uiPriority w:val="99"/>
    <w:unhideWhenUsed/>
    <w:rsid w:val="00CC5014"/>
    <w:pPr>
      <w:tabs>
        <w:tab w:val="center" w:pos="4819"/>
        <w:tab w:val="right" w:pos="9638"/>
      </w:tabs>
      <w:spacing w:after="0" w:line="240" w:lineRule="auto"/>
    </w:pPr>
  </w:style>
  <w:style w:type="character" w:customStyle="1" w:styleId="FooterChar">
    <w:name w:val="Footer Char"/>
    <w:basedOn w:val="DefaultParagraphFont"/>
    <w:link w:val="Footer"/>
    <w:uiPriority w:val="99"/>
    <w:rsid w:val="00CC5014"/>
    <w:rPr>
      <w:rFonts w:ascii="Calibri" w:eastAsia="Calibri" w:hAnsi="Calibri" w:cs="Calibri"/>
      <w:kern w:val="0"/>
      <w:sz w:val="22"/>
      <w:szCs w:val="22"/>
      <w:lang w:val="en-US" w:eastAsia="it-IT"/>
    </w:rPr>
  </w:style>
  <w:style w:type="character" w:styleId="Hyperlink">
    <w:name w:val="Hyperlink"/>
    <w:basedOn w:val="DefaultParagraphFont"/>
    <w:uiPriority w:val="99"/>
    <w:unhideWhenUsed/>
    <w:rsid w:val="002C6E19"/>
    <w:rPr>
      <w:color w:val="467886" w:themeColor="hyperlink"/>
      <w:u w:val="single"/>
    </w:rPr>
  </w:style>
  <w:style w:type="character" w:styleId="UnresolvedMention">
    <w:name w:val="Unresolved Mention"/>
    <w:basedOn w:val="DefaultParagraphFont"/>
    <w:uiPriority w:val="99"/>
    <w:semiHidden/>
    <w:unhideWhenUsed/>
    <w:rsid w:val="002C6E19"/>
    <w:rPr>
      <w:color w:val="605E5C"/>
      <w:shd w:val="clear" w:color="auto" w:fill="E1DFDD"/>
    </w:rPr>
  </w:style>
  <w:style w:type="character" w:styleId="FollowedHyperlink">
    <w:name w:val="FollowedHyperlink"/>
    <w:basedOn w:val="DefaultParagraphFont"/>
    <w:uiPriority w:val="99"/>
    <w:semiHidden/>
    <w:unhideWhenUsed/>
    <w:rsid w:val="002C6E19"/>
    <w:rPr>
      <w:color w:val="96607D" w:themeColor="followedHyperlink"/>
      <w:u w:val="single"/>
    </w:rPr>
  </w:style>
  <w:style w:type="paragraph" w:styleId="NormalWeb">
    <w:name w:val="Normal (Web)"/>
    <w:basedOn w:val="Normal"/>
    <w:uiPriority w:val="99"/>
    <w:semiHidden/>
    <w:unhideWhenUsed/>
    <w:rsid w:val="0013122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E5444D"/>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Pr>
  </w:style>
  <w:style w:type="table" w:customStyle="1" w:styleId="afc">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document/d/0B3ZYygjUFUx4UUZLTHYzbDZHd28/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document/d/1IrsO0WAW8J1brdk0lQxkK17nAbY2zljKwepFsuspL5k/ed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common-european-framework-reference-languages/cefr-companion-volume-and-its-language-vers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m.coe.int/cefr-descriptors-2020-/16809ed2c7" TargetMode="External"/><Relationship Id="rId4" Type="http://schemas.openxmlformats.org/officeDocument/2006/relationships/settings" Target="settings.xml"/><Relationship Id="rId9" Type="http://schemas.openxmlformats.org/officeDocument/2006/relationships/hyperlink" Target="https://rexquist.com/cefr/"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lFg5aPKT4AESeFAYRnnitH+b5g==">CgMxLjAyDmguazltZDZlbGVudzJuMg5oLm41MnV3c25xcDMyMzIOaC5idG05eHNmZzN4cGIyD2lkLjJybm9oY2Rvcnc2djIOaC5rMm5kcGRzZWRsNGIyDmgudmM2dTI0c2x1djl4OAByITFnUEhjbVZBalFTZXk5aExUbHdsQzdvVnVUUjFzSW5tTg==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nunn</dc:creator>
  <cp:lastModifiedBy>louise nunn</cp:lastModifiedBy>
  <cp:revision>7</cp:revision>
  <dcterms:created xsi:type="dcterms:W3CDTF">2026-04-16T18:55:00Z</dcterms:created>
  <dcterms:modified xsi:type="dcterms:W3CDTF">2026-04-16T18:57:00Z</dcterms:modified>
</cp:coreProperties>
</file>