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85DC0" w:rsidRDefault="00000000">
      <w:pPr>
        <w:rPr>
          <w:rFonts w:ascii="Aptos" w:eastAsia="Aptos" w:hAnsi="Aptos" w:cs="Aptos"/>
          <w:b/>
          <w:bCs/>
          <w:color w:val="243673"/>
          <w:sz w:val="32"/>
          <w:szCs w:val="32"/>
        </w:rPr>
      </w:pPr>
      <w:r>
        <w:rPr>
          <w:noProof/>
        </w:rPr>
        <w:drawing>
          <wp:anchor distT="0" distB="0" distL="0" distR="0" simplePos="0" relativeHeight="251658240" behindDoc="1" locked="0" layoutInCell="1" hidden="0" allowOverlap="1">
            <wp:simplePos x="0" y="0"/>
            <wp:positionH relativeFrom="column">
              <wp:posOffset>215190</wp:posOffset>
            </wp:positionH>
            <wp:positionV relativeFrom="paragraph">
              <wp:posOffset>-59982</wp:posOffset>
            </wp:positionV>
            <wp:extent cx="1222375" cy="12223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222375" cy="1222375"/>
                    </a:xfrm>
                    <a:prstGeom prst="rect">
                      <a:avLst/>
                    </a:prstGeom>
                    <a:ln/>
                  </pic:spPr>
                </pic:pic>
              </a:graphicData>
            </a:graphic>
          </wp:anchor>
        </w:drawing>
      </w:r>
    </w:p>
    <w:p w14:paraId="00000002" w14:textId="77777777" w:rsidR="00785DC0" w:rsidRDefault="00000000">
      <w:pPr>
        <w:jc w:val="center"/>
        <w:rPr>
          <w:rFonts w:ascii="Aptos" w:eastAsia="Aptos" w:hAnsi="Aptos" w:cs="Aptos"/>
          <w:b/>
          <w:bCs/>
          <w:sz w:val="36"/>
          <w:szCs w:val="36"/>
        </w:rPr>
      </w:pPr>
      <w:r>
        <w:rPr>
          <w:rFonts w:ascii="Aptos" w:eastAsia="Aptos" w:hAnsi="Aptos" w:cs="Aptos"/>
          <w:b/>
          <w:bCs/>
          <w:sz w:val="36"/>
          <w:szCs w:val="36"/>
        </w:rPr>
        <w:t xml:space="preserve">Voices of the Field </w:t>
      </w:r>
    </w:p>
    <w:p w14:paraId="00000003" w14:textId="77777777" w:rsidR="00785DC0" w:rsidRDefault="00000000">
      <w:pPr>
        <w:jc w:val="center"/>
        <w:rPr>
          <w:rFonts w:ascii="Aptos" w:eastAsia="Aptos" w:hAnsi="Aptos" w:cs="Aptos"/>
          <w:b/>
          <w:bCs/>
          <w:color w:val="000000"/>
          <w:sz w:val="36"/>
          <w:szCs w:val="36"/>
        </w:rPr>
      </w:pPr>
      <w:r>
        <w:rPr>
          <w:rFonts w:ascii="Aptos" w:eastAsia="Aptos" w:hAnsi="Aptos" w:cs="Aptos"/>
          <w:b/>
          <w:bCs/>
          <w:sz w:val="36"/>
          <w:szCs w:val="36"/>
        </w:rPr>
        <w:t>Academic Conference</w:t>
      </w:r>
    </w:p>
    <w:p w14:paraId="00000004" w14:textId="77777777" w:rsidR="00785DC0" w:rsidRDefault="00785DC0">
      <w:pPr>
        <w:spacing w:after="0" w:line="240" w:lineRule="auto"/>
        <w:ind w:right="140"/>
        <w:rPr>
          <w:rFonts w:ascii="Aptos" w:eastAsia="Aptos" w:hAnsi="Aptos" w:cs="Aptos"/>
          <w:b/>
          <w:bCs/>
          <w:color w:val="001793"/>
        </w:rPr>
      </w:pPr>
    </w:p>
    <w:p w14:paraId="00000005" w14:textId="77777777" w:rsidR="00785DC0" w:rsidRDefault="00785DC0">
      <w:pPr>
        <w:spacing w:after="0" w:line="240" w:lineRule="auto"/>
        <w:ind w:left="360" w:right="-291"/>
        <w:rPr>
          <w:rFonts w:ascii="Aptos" w:eastAsia="Aptos" w:hAnsi="Aptos" w:cs="Aptos"/>
          <w:color w:val="243673"/>
        </w:rPr>
      </w:pPr>
    </w:p>
    <w:tbl>
      <w:tblPr>
        <w:tblStyle w:val="a"/>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785DC0" w14:paraId="5AE14CDF" w14:textId="77777777">
        <w:tc>
          <w:tcPr>
            <w:tcW w:w="9633" w:type="dxa"/>
            <w:shd w:val="clear" w:color="auto" w:fill="243673"/>
          </w:tcPr>
          <w:p w14:paraId="00000006" w14:textId="77777777" w:rsidR="00785DC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PART 1. </w:t>
            </w:r>
            <w:r>
              <w:rPr>
                <w:rFonts w:ascii="Aptos" w:eastAsia="Aptos" w:hAnsi="Aptos" w:cs="Aptos"/>
                <w:color w:val="FFFFFF"/>
                <w:sz w:val="28"/>
                <w:szCs w:val="28"/>
              </w:rPr>
              <w:t>SCENARIO DESCRIPTION</w:t>
            </w:r>
            <w:r>
              <w:rPr>
                <w:rFonts w:ascii="Aptos" w:eastAsia="Aptos" w:hAnsi="Aptos" w:cs="Aptos"/>
                <w:b/>
                <w:bCs/>
                <w:color w:val="FFFFFF"/>
                <w:sz w:val="28"/>
                <w:szCs w:val="28"/>
              </w:rPr>
              <w:t xml:space="preserve">     </w:t>
            </w:r>
          </w:p>
        </w:tc>
      </w:tr>
    </w:tbl>
    <w:p w14:paraId="00000007" w14:textId="77777777" w:rsidR="00785DC0" w:rsidRDefault="00785DC0">
      <w:pPr>
        <w:spacing w:after="0" w:line="240" w:lineRule="auto"/>
        <w:ind w:right="-291"/>
        <w:rPr>
          <w:rFonts w:ascii="Aptos" w:eastAsia="Aptos" w:hAnsi="Aptos" w:cs="Aptos"/>
          <w:color w:val="243673"/>
        </w:rPr>
      </w:pPr>
    </w:p>
    <w:p w14:paraId="00000008" w14:textId="77777777" w:rsidR="00785DC0" w:rsidRDefault="00000000">
      <w:pPr>
        <w:numPr>
          <w:ilvl w:val="0"/>
          <w:numId w:val="11"/>
        </w:numPr>
        <w:spacing w:after="0"/>
        <w:jc w:val="both"/>
        <w:rPr>
          <w:rFonts w:ascii="Aptos" w:eastAsia="Aptos" w:hAnsi="Aptos" w:cs="Aptos"/>
          <w:color w:val="000000"/>
          <w:sz w:val="24"/>
          <w:szCs w:val="24"/>
        </w:rPr>
      </w:pPr>
      <w:r>
        <w:rPr>
          <w:rFonts w:ascii="Aptos" w:eastAsia="Aptos" w:hAnsi="Aptos" w:cs="Aptos"/>
          <w:b/>
          <w:bCs/>
          <w:color w:val="000000"/>
          <w:sz w:val="24"/>
          <w:szCs w:val="24"/>
        </w:rPr>
        <w:t>Title</w:t>
      </w:r>
    </w:p>
    <w:tbl>
      <w:tblPr>
        <w:tblStyle w:val="a0"/>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785DC0" w14:paraId="104EF084" w14:textId="77777777">
        <w:tc>
          <w:tcPr>
            <w:tcW w:w="9268" w:type="dxa"/>
          </w:tcPr>
          <w:p w14:paraId="00000009" w14:textId="77777777" w:rsidR="00785DC0" w:rsidRDefault="00000000">
            <w:pPr>
              <w:jc w:val="both"/>
              <w:rPr>
                <w:rFonts w:ascii="Aptos" w:eastAsia="Aptos" w:hAnsi="Aptos" w:cs="Aptos"/>
                <w:sz w:val="24"/>
                <w:szCs w:val="24"/>
              </w:rPr>
            </w:pPr>
            <w:r>
              <w:rPr>
                <w:rFonts w:ascii="Aptos" w:eastAsia="Aptos" w:hAnsi="Aptos" w:cs="Aptos"/>
                <w:sz w:val="24"/>
                <w:szCs w:val="24"/>
              </w:rPr>
              <w:t>Voices of the Field: Communicating Academic Research to Expert and Public Audiences</w:t>
            </w:r>
          </w:p>
        </w:tc>
      </w:tr>
    </w:tbl>
    <w:p w14:paraId="0000000A" w14:textId="77777777" w:rsidR="00785DC0" w:rsidRDefault="00785DC0">
      <w:pPr>
        <w:spacing w:after="0"/>
        <w:jc w:val="both"/>
        <w:rPr>
          <w:rFonts w:ascii="Aptos" w:eastAsia="Aptos" w:hAnsi="Aptos" w:cs="Aptos"/>
          <w:b/>
          <w:bCs/>
          <w:color w:val="243673"/>
          <w:sz w:val="24"/>
          <w:szCs w:val="24"/>
        </w:rPr>
      </w:pPr>
    </w:p>
    <w:p w14:paraId="0000000B" w14:textId="77777777" w:rsidR="00785DC0" w:rsidRDefault="00000000">
      <w:pPr>
        <w:numPr>
          <w:ilvl w:val="0"/>
          <w:numId w:val="11"/>
        </w:numPr>
        <w:pBdr>
          <w:top w:val="nil"/>
          <w:left w:val="nil"/>
          <w:bottom w:val="nil"/>
          <w:right w:val="nil"/>
          <w:between w:val="nil"/>
        </w:pBdr>
        <w:spacing w:after="0"/>
        <w:jc w:val="both"/>
        <w:rPr>
          <w:rFonts w:ascii="Aptos" w:eastAsia="Aptos" w:hAnsi="Aptos" w:cs="Aptos"/>
          <w:b/>
          <w:bCs/>
          <w:color w:val="000000"/>
          <w:sz w:val="24"/>
          <w:szCs w:val="24"/>
        </w:rPr>
      </w:pPr>
      <w:r>
        <w:rPr>
          <w:rFonts w:ascii="Aptos" w:eastAsia="Aptos" w:hAnsi="Aptos" w:cs="Aptos"/>
          <w:b/>
          <w:bCs/>
          <w:color w:val="000000"/>
          <w:sz w:val="24"/>
          <w:szCs w:val="24"/>
        </w:rPr>
        <w:t>Overview</w:t>
      </w:r>
    </w:p>
    <w:tbl>
      <w:tblPr>
        <w:tblStyle w:val="a1"/>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785DC0" w14:paraId="3F6DA1D7" w14:textId="77777777">
        <w:tc>
          <w:tcPr>
            <w:tcW w:w="9268" w:type="dxa"/>
          </w:tcPr>
          <w:p w14:paraId="0000000C" w14:textId="77777777" w:rsidR="00785DC0" w:rsidRDefault="00000000">
            <w:pPr>
              <w:jc w:val="both"/>
              <w:rPr>
                <w:rFonts w:ascii="Aptos" w:eastAsia="Aptos" w:hAnsi="Aptos" w:cs="Aptos"/>
                <w:sz w:val="24"/>
                <w:szCs w:val="24"/>
              </w:rPr>
            </w:pPr>
            <w:r>
              <w:rPr>
                <w:rFonts w:ascii="Aptos" w:eastAsia="Aptos" w:hAnsi="Aptos" w:cs="Aptos"/>
                <w:sz w:val="24"/>
                <w:szCs w:val="24"/>
              </w:rPr>
              <w:t>As graduate university students in the field of Environmental Science, you are already producers of knowledge, not merely consumers of it. Yet one of the most challenging and consequential skills in academic life is the ability to communicate that knowledge with precision, authority, and adaptability across audiences that range from expert peers to interdisciplinary panels, funding bodies, policymakers, and the informed public.</w:t>
            </w:r>
          </w:p>
          <w:p w14:paraId="0000000D" w14:textId="77777777" w:rsidR="00785DC0" w:rsidRDefault="00785DC0">
            <w:pPr>
              <w:jc w:val="both"/>
              <w:rPr>
                <w:rFonts w:ascii="Aptos" w:eastAsia="Aptos" w:hAnsi="Aptos" w:cs="Aptos"/>
                <w:sz w:val="24"/>
                <w:szCs w:val="24"/>
              </w:rPr>
            </w:pPr>
          </w:p>
          <w:p w14:paraId="0000000E" w14:textId="77777777" w:rsidR="00785DC0" w:rsidRDefault="00000000">
            <w:pPr>
              <w:jc w:val="both"/>
              <w:rPr>
                <w:rFonts w:ascii="Aptos" w:eastAsia="Aptos" w:hAnsi="Aptos" w:cs="Aptos"/>
                <w:sz w:val="24"/>
                <w:szCs w:val="24"/>
              </w:rPr>
            </w:pPr>
            <w:r>
              <w:rPr>
                <w:rFonts w:ascii="Aptos" w:eastAsia="Aptos" w:hAnsi="Aptos" w:cs="Aptos"/>
                <w:sz w:val="24"/>
                <w:szCs w:val="24"/>
              </w:rPr>
              <w:t>In this scenario, you will work on a research communication project anchored in your own field of study. Drawing on a research topic, project, or thesis chapter you are currently developing, you will produce three interconnected high-stakes outputs: a full academic paper written to the conventions of your discipline; a three-minute thesis (3MT) style oral presentation designed to communicate your research to a cross-disciplinary university audience; and a plain-language research summary (policy brief or public-facing article) aimed at a non-specialist but intellectually engaged audience.</w:t>
            </w:r>
          </w:p>
          <w:p w14:paraId="0000000F" w14:textId="77777777" w:rsidR="00785DC0" w:rsidRDefault="00785DC0">
            <w:pPr>
              <w:jc w:val="both"/>
              <w:rPr>
                <w:rFonts w:ascii="Aptos" w:eastAsia="Aptos" w:hAnsi="Aptos" w:cs="Aptos"/>
                <w:sz w:val="24"/>
                <w:szCs w:val="24"/>
              </w:rPr>
            </w:pPr>
          </w:p>
          <w:p w14:paraId="00000010" w14:textId="77777777" w:rsidR="00785DC0" w:rsidRDefault="00000000">
            <w:pPr>
              <w:jc w:val="both"/>
              <w:rPr>
                <w:rFonts w:ascii="Aptos" w:eastAsia="Aptos" w:hAnsi="Aptos" w:cs="Aptos"/>
                <w:b/>
                <w:bCs/>
                <w:sz w:val="24"/>
                <w:szCs w:val="24"/>
              </w:rPr>
            </w:pPr>
            <w:r>
              <w:rPr>
                <w:rFonts w:ascii="Aptos" w:eastAsia="Aptos" w:hAnsi="Aptos" w:cs="Aptos"/>
                <w:sz w:val="24"/>
                <w:szCs w:val="24"/>
              </w:rPr>
              <w:t>The scenario culminates in a simulated public engagement event, where you will present your work, field expert questions, engage in scholarly discussion, and reflect critically on how language, disciplinary convention, and communicative purpose shape the reception of research. Plurilingual dimensions are woven throughout: you are invited to bring your full linguistic repertoire into the design and framing of your work. This will also help you reflect critically on the role of English as an academic lingua franca in your field.</w:t>
            </w:r>
          </w:p>
          <w:p w14:paraId="00000011" w14:textId="77777777" w:rsidR="00785DC0" w:rsidRDefault="00785DC0">
            <w:pPr>
              <w:jc w:val="both"/>
              <w:rPr>
                <w:rFonts w:ascii="Aptos" w:eastAsia="Aptos" w:hAnsi="Aptos" w:cs="Aptos"/>
                <w:b/>
                <w:bCs/>
                <w:color w:val="243673"/>
                <w:sz w:val="24"/>
                <w:szCs w:val="24"/>
              </w:rPr>
            </w:pPr>
          </w:p>
        </w:tc>
      </w:tr>
    </w:tbl>
    <w:p w14:paraId="00000012" w14:textId="77777777" w:rsidR="00785DC0" w:rsidRDefault="00785DC0">
      <w:pPr>
        <w:pBdr>
          <w:top w:val="nil"/>
          <w:left w:val="nil"/>
          <w:bottom w:val="nil"/>
          <w:right w:val="nil"/>
          <w:between w:val="nil"/>
        </w:pBdr>
        <w:spacing w:after="0"/>
        <w:ind w:left="360"/>
        <w:jc w:val="both"/>
        <w:rPr>
          <w:rFonts w:ascii="Aptos" w:eastAsia="Aptos" w:hAnsi="Aptos" w:cs="Aptos"/>
          <w:b/>
          <w:bCs/>
          <w:color w:val="243673"/>
          <w:sz w:val="24"/>
          <w:szCs w:val="24"/>
        </w:rPr>
      </w:pPr>
    </w:p>
    <w:p w14:paraId="00000013" w14:textId="77777777" w:rsidR="00785DC0" w:rsidRDefault="00000000">
      <w:pPr>
        <w:numPr>
          <w:ilvl w:val="0"/>
          <w:numId w:val="11"/>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Target learners (age range)</w:t>
      </w:r>
    </w:p>
    <w:tbl>
      <w:tblPr>
        <w:tblStyle w:val="a2"/>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785DC0" w14:paraId="6BE67D2F" w14:textId="77777777">
        <w:tc>
          <w:tcPr>
            <w:tcW w:w="9268" w:type="dxa"/>
          </w:tcPr>
          <w:p w14:paraId="00000014" w14:textId="77777777" w:rsidR="00785DC0" w:rsidRDefault="00000000">
            <w:pPr>
              <w:rPr>
                <w:rFonts w:ascii="Aptos" w:eastAsia="Aptos" w:hAnsi="Aptos" w:cs="Aptos"/>
                <w:b/>
                <w:bCs/>
                <w:sz w:val="24"/>
                <w:szCs w:val="24"/>
              </w:rPr>
            </w:pPr>
            <w:r>
              <w:rPr>
                <w:rFonts w:ascii="Aptos" w:eastAsia="Aptos" w:hAnsi="Aptos" w:cs="Aptos"/>
                <w:sz w:val="24"/>
                <w:szCs w:val="24"/>
              </w:rPr>
              <w:t>Students enrolled in a university ESP academic writing and research communication course. Participants are assumed to be non-native speakers of English working in English-medium academic environments, with strong disciplinary foundations. Students are preparing for a transition into a graduate-level Environmental Science Program.</w:t>
            </w:r>
          </w:p>
        </w:tc>
      </w:tr>
    </w:tbl>
    <w:p w14:paraId="00000015" w14:textId="77777777" w:rsidR="00785DC0" w:rsidRDefault="00785DC0">
      <w:pPr>
        <w:pBdr>
          <w:top w:val="nil"/>
          <w:left w:val="nil"/>
          <w:bottom w:val="nil"/>
          <w:right w:val="nil"/>
          <w:between w:val="nil"/>
        </w:pBdr>
        <w:spacing w:after="0"/>
        <w:ind w:left="360"/>
        <w:rPr>
          <w:rFonts w:ascii="Aptos" w:eastAsia="Aptos" w:hAnsi="Aptos" w:cs="Aptos"/>
          <w:b/>
          <w:bCs/>
          <w:color w:val="243673"/>
          <w:sz w:val="24"/>
          <w:szCs w:val="24"/>
        </w:rPr>
      </w:pPr>
    </w:p>
    <w:p w14:paraId="00000016" w14:textId="77777777" w:rsidR="00785DC0" w:rsidRDefault="00000000">
      <w:pPr>
        <w:numPr>
          <w:ilvl w:val="0"/>
          <w:numId w:val="11"/>
        </w:numPr>
        <w:pBdr>
          <w:top w:val="nil"/>
          <w:left w:val="nil"/>
          <w:bottom w:val="nil"/>
          <w:right w:val="nil"/>
          <w:between w:val="nil"/>
        </w:pBdr>
        <w:tabs>
          <w:tab w:val="center" w:pos="4320"/>
          <w:tab w:val="left" w:pos="5675"/>
        </w:tabs>
        <w:spacing w:after="0"/>
        <w:rPr>
          <w:rFonts w:ascii="Aptos" w:eastAsia="Aptos" w:hAnsi="Aptos" w:cs="Aptos"/>
          <w:b/>
          <w:bCs/>
          <w:color w:val="000000"/>
          <w:sz w:val="24"/>
          <w:szCs w:val="24"/>
        </w:rPr>
      </w:pPr>
      <w:r>
        <w:rPr>
          <w:rFonts w:ascii="Aptos" w:eastAsia="Aptos" w:hAnsi="Aptos" w:cs="Aptos"/>
          <w:b/>
          <w:bCs/>
          <w:color w:val="000000"/>
          <w:sz w:val="24"/>
          <w:szCs w:val="24"/>
        </w:rPr>
        <w:t>Languages</w:t>
      </w:r>
    </w:p>
    <w:p w14:paraId="00000017" w14:textId="77777777" w:rsidR="00785DC0" w:rsidRDefault="00000000">
      <w:pPr>
        <w:numPr>
          <w:ilvl w:val="0"/>
          <w:numId w:val="12"/>
        </w:numPr>
        <w:pBdr>
          <w:top w:val="nil"/>
          <w:left w:val="nil"/>
          <w:bottom w:val="nil"/>
          <w:right w:val="nil"/>
          <w:between w:val="nil"/>
        </w:pBdr>
        <w:tabs>
          <w:tab w:val="center" w:pos="4320"/>
          <w:tab w:val="left" w:pos="5675"/>
        </w:tabs>
        <w:spacing w:after="0"/>
        <w:ind w:left="851"/>
        <w:rPr>
          <w:rFonts w:ascii="Aptos" w:eastAsia="Aptos" w:hAnsi="Aptos" w:cs="Aptos"/>
          <w:b/>
          <w:bCs/>
          <w:color w:val="000000"/>
          <w:sz w:val="24"/>
          <w:szCs w:val="24"/>
        </w:rPr>
      </w:pPr>
      <w:r>
        <w:rPr>
          <w:rFonts w:ascii="Aptos" w:eastAsia="Aptos" w:hAnsi="Aptos" w:cs="Aptos"/>
          <w:b/>
          <w:bCs/>
          <w:color w:val="000000"/>
          <w:sz w:val="24"/>
          <w:szCs w:val="24"/>
        </w:rPr>
        <w:t xml:space="preserve">Target Language: </w:t>
      </w:r>
      <w:r>
        <w:rPr>
          <w:rFonts w:ascii="Aptos" w:eastAsia="Aptos" w:hAnsi="Aptos" w:cs="Aptos"/>
          <w:color w:val="000000"/>
          <w:sz w:val="24"/>
          <w:szCs w:val="24"/>
        </w:rPr>
        <w:t>English (academic and professional registers)</w:t>
      </w:r>
    </w:p>
    <w:p w14:paraId="00000018" w14:textId="77777777" w:rsidR="00785DC0" w:rsidRDefault="00000000">
      <w:pPr>
        <w:numPr>
          <w:ilvl w:val="0"/>
          <w:numId w:val="12"/>
        </w:numPr>
        <w:pBdr>
          <w:top w:val="nil"/>
          <w:left w:val="nil"/>
          <w:bottom w:val="nil"/>
          <w:right w:val="nil"/>
          <w:between w:val="nil"/>
        </w:pBdr>
        <w:tabs>
          <w:tab w:val="center" w:pos="4320"/>
          <w:tab w:val="left" w:pos="5675"/>
        </w:tabs>
        <w:spacing w:after="0"/>
        <w:ind w:left="851"/>
        <w:rPr>
          <w:rFonts w:ascii="Aptos" w:eastAsia="Aptos" w:hAnsi="Aptos" w:cs="Aptos"/>
          <w:b/>
          <w:bCs/>
          <w:color w:val="000000"/>
          <w:sz w:val="24"/>
          <w:szCs w:val="24"/>
        </w:rPr>
      </w:pPr>
      <w:r>
        <w:rPr>
          <w:rFonts w:ascii="Aptos" w:eastAsia="Aptos" w:hAnsi="Aptos" w:cs="Aptos"/>
          <w:b/>
          <w:bCs/>
          <w:color w:val="000000"/>
          <w:sz w:val="24"/>
          <w:szCs w:val="24"/>
        </w:rPr>
        <w:lastRenderedPageBreak/>
        <w:t xml:space="preserve">Other languages: </w:t>
      </w:r>
      <w:r>
        <w:rPr>
          <w:rFonts w:ascii="Aptos" w:eastAsia="Aptos" w:hAnsi="Aptos" w:cs="Aptos"/>
          <w:color w:val="000000"/>
          <w:sz w:val="24"/>
          <w:szCs w:val="24"/>
        </w:rPr>
        <w:t xml:space="preserve">Students’ full plurilingual and </w:t>
      </w:r>
      <w:proofErr w:type="spellStart"/>
      <w:r>
        <w:rPr>
          <w:rFonts w:ascii="Aptos" w:eastAsia="Aptos" w:hAnsi="Aptos" w:cs="Aptos"/>
          <w:color w:val="000000"/>
          <w:sz w:val="24"/>
          <w:szCs w:val="24"/>
        </w:rPr>
        <w:t>pluriacademic</w:t>
      </w:r>
      <w:proofErr w:type="spellEnd"/>
      <w:r>
        <w:rPr>
          <w:rFonts w:ascii="Aptos" w:eastAsia="Aptos" w:hAnsi="Aptos" w:cs="Aptos"/>
          <w:color w:val="000000"/>
          <w:sz w:val="24"/>
          <w:szCs w:val="24"/>
        </w:rPr>
        <w:t xml:space="preserve"> repertoires, including their L1(s), additional languages, and disciplinary discourses from their home academic traditions</w:t>
      </w:r>
    </w:p>
    <w:p w14:paraId="00000019" w14:textId="77777777" w:rsidR="00785DC0" w:rsidRDefault="00785DC0">
      <w:pPr>
        <w:pBdr>
          <w:top w:val="nil"/>
          <w:left w:val="nil"/>
          <w:bottom w:val="nil"/>
          <w:right w:val="nil"/>
          <w:between w:val="nil"/>
        </w:pBdr>
        <w:tabs>
          <w:tab w:val="center" w:pos="4320"/>
          <w:tab w:val="left" w:pos="5675"/>
        </w:tabs>
        <w:spacing w:after="0"/>
        <w:ind w:left="851"/>
        <w:rPr>
          <w:rFonts w:ascii="Aptos" w:eastAsia="Aptos" w:hAnsi="Aptos" w:cs="Aptos"/>
          <w:b/>
          <w:bCs/>
          <w:color w:val="243673"/>
          <w:sz w:val="24"/>
          <w:szCs w:val="24"/>
        </w:rPr>
      </w:pPr>
    </w:p>
    <w:p w14:paraId="0000001A" w14:textId="77777777" w:rsidR="00785DC0" w:rsidRDefault="00000000">
      <w:pPr>
        <w:numPr>
          <w:ilvl w:val="0"/>
          <w:numId w:val="11"/>
        </w:numPr>
        <w:pBdr>
          <w:top w:val="nil"/>
          <w:left w:val="nil"/>
          <w:bottom w:val="nil"/>
          <w:right w:val="nil"/>
          <w:between w:val="nil"/>
        </w:pBdr>
        <w:tabs>
          <w:tab w:val="center" w:pos="4320"/>
          <w:tab w:val="left" w:pos="5675"/>
        </w:tabs>
        <w:spacing w:after="0"/>
        <w:rPr>
          <w:rFonts w:ascii="Aptos" w:eastAsia="Aptos" w:hAnsi="Aptos" w:cs="Aptos"/>
          <w:b/>
          <w:bCs/>
          <w:color w:val="000000"/>
          <w:sz w:val="24"/>
          <w:szCs w:val="24"/>
        </w:rPr>
      </w:pPr>
      <w:r>
        <w:rPr>
          <w:rFonts w:ascii="Aptos" w:eastAsia="Aptos" w:hAnsi="Aptos" w:cs="Aptos"/>
          <w:b/>
          <w:bCs/>
          <w:color w:val="000000"/>
          <w:sz w:val="24"/>
          <w:szCs w:val="24"/>
        </w:rPr>
        <w:t>CEFR Target Level: C2</w:t>
      </w:r>
      <w:r>
        <w:rPr>
          <w:rFonts w:ascii="Aptos" w:eastAsia="Aptos" w:hAnsi="Aptos" w:cs="Aptos"/>
          <w:color w:val="000000"/>
          <w:sz w:val="24"/>
          <w:szCs w:val="24"/>
        </w:rPr>
        <w:t xml:space="preserve"> </w:t>
      </w:r>
    </w:p>
    <w:p w14:paraId="0000001B" w14:textId="77777777" w:rsidR="00785DC0" w:rsidRDefault="00785DC0">
      <w:pPr>
        <w:spacing w:after="0"/>
        <w:ind w:left="720"/>
        <w:rPr>
          <w:rFonts w:ascii="Aptos" w:eastAsia="Aptos" w:hAnsi="Aptos" w:cs="Aptos"/>
          <w:color w:val="000000"/>
          <w:sz w:val="24"/>
          <w:szCs w:val="24"/>
        </w:rPr>
      </w:pPr>
    </w:p>
    <w:p w14:paraId="0000001C" w14:textId="77777777" w:rsidR="00785DC0" w:rsidRDefault="00000000">
      <w:pPr>
        <w:numPr>
          <w:ilvl w:val="0"/>
          <w:numId w:val="11"/>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 xml:space="preserve">Main overarching goal(s) </w:t>
      </w:r>
    </w:p>
    <w:tbl>
      <w:tblPr>
        <w:tblStyle w:val="a3"/>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785DC0" w14:paraId="045D6A3D" w14:textId="77777777">
        <w:tc>
          <w:tcPr>
            <w:tcW w:w="9268" w:type="dxa"/>
          </w:tcPr>
          <w:p w14:paraId="0000001D" w14:textId="77777777" w:rsidR="00785DC0" w:rsidRDefault="00000000">
            <w:pPr>
              <w:numPr>
                <w:ilvl w:val="0"/>
                <w:numId w:val="19"/>
              </w:numPr>
              <w:jc w:val="both"/>
              <w:rPr>
                <w:rFonts w:ascii="Aptos" w:eastAsia="Aptos" w:hAnsi="Aptos" w:cs="Aptos"/>
                <w:sz w:val="24"/>
                <w:szCs w:val="24"/>
              </w:rPr>
            </w:pPr>
            <w:r>
              <w:rPr>
                <w:rFonts w:ascii="Aptos" w:eastAsia="Aptos" w:hAnsi="Aptos" w:cs="Aptos"/>
                <w:sz w:val="24"/>
                <w:szCs w:val="24"/>
              </w:rPr>
              <w:t>Produce a discipline-specific academic paper that demonstrates full command of the conventions, argumentation structures, citation practices, and rhetorical strategies of their field.</w:t>
            </w:r>
          </w:p>
          <w:p w14:paraId="0000001E" w14:textId="77777777" w:rsidR="00785DC0" w:rsidRDefault="00000000">
            <w:pPr>
              <w:numPr>
                <w:ilvl w:val="0"/>
                <w:numId w:val="19"/>
              </w:numPr>
              <w:jc w:val="both"/>
              <w:rPr>
                <w:rFonts w:ascii="Aptos" w:eastAsia="Aptos" w:hAnsi="Aptos" w:cs="Aptos"/>
                <w:sz w:val="24"/>
                <w:szCs w:val="24"/>
              </w:rPr>
            </w:pPr>
            <w:r>
              <w:rPr>
                <w:rFonts w:ascii="Aptos" w:eastAsia="Aptos" w:hAnsi="Aptos" w:cs="Aptos"/>
                <w:sz w:val="24"/>
                <w:szCs w:val="24"/>
              </w:rPr>
              <w:t>Deliver a cogent, well-structured oral research presentation to a cross-disciplinary academic audience, managing register, technical vocabulary, and audience engagement with expert fluency.</w:t>
            </w:r>
          </w:p>
          <w:p w14:paraId="0000001F" w14:textId="77777777" w:rsidR="00785DC0" w:rsidRDefault="00000000">
            <w:pPr>
              <w:numPr>
                <w:ilvl w:val="0"/>
                <w:numId w:val="19"/>
              </w:numPr>
              <w:jc w:val="both"/>
              <w:rPr>
                <w:rFonts w:ascii="Aptos" w:eastAsia="Aptos" w:hAnsi="Aptos" w:cs="Aptos"/>
                <w:sz w:val="24"/>
                <w:szCs w:val="24"/>
              </w:rPr>
            </w:pPr>
            <w:r>
              <w:rPr>
                <w:rFonts w:ascii="Aptos" w:eastAsia="Aptos" w:hAnsi="Aptos" w:cs="Aptos"/>
                <w:sz w:val="24"/>
                <w:szCs w:val="24"/>
              </w:rPr>
              <w:t>Compose a plain-language research summary (policy brief or public article) that accurately represents complex academic content for a non-specialist audience without distortion or oversimplification.</w:t>
            </w:r>
          </w:p>
          <w:p w14:paraId="00000020" w14:textId="77777777" w:rsidR="00785DC0" w:rsidRDefault="00000000">
            <w:pPr>
              <w:numPr>
                <w:ilvl w:val="0"/>
                <w:numId w:val="19"/>
              </w:numPr>
              <w:jc w:val="both"/>
              <w:rPr>
                <w:rFonts w:ascii="Aptos" w:eastAsia="Aptos" w:hAnsi="Aptos" w:cs="Aptos"/>
                <w:sz w:val="24"/>
                <w:szCs w:val="24"/>
              </w:rPr>
            </w:pPr>
            <w:r>
              <w:rPr>
                <w:rFonts w:ascii="Aptos" w:eastAsia="Aptos" w:hAnsi="Aptos" w:cs="Aptos"/>
                <w:sz w:val="24"/>
                <w:szCs w:val="24"/>
              </w:rPr>
              <w:t>Critically evaluate and respond to expert questions and peer critique during a simulated conference Q&amp;A, demonstrating scholarly discourse competence.</w:t>
            </w:r>
          </w:p>
          <w:p w14:paraId="00000021" w14:textId="77777777" w:rsidR="00785DC0" w:rsidRDefault="00000000">
            <w:pPr>
              <w:numPr>
                <w:ilvl w:val="0"/>
                <w:numId w:val="19"/>
              </w:numPr>
              <w:jc w:val="both"/>
              <w:rPr>
                <w:rFonts w:ascii="Aptos" w:eastAsia="Aptos" w:hAnsi="Aptos" w:cs="Aptos"/>
                <w:sz w:val="24"/>
                <w:szCs w:val="24"/>
              </w:rPr>
            </w:pPr>
            <w:r>
              <w:rPr>
                <w:rFonts w:ascii="Aptos" w:eastAsia="Aptos" w:hAnsi="Aptos" w:cs="Aptos"/>
                <w:sz w:val="24"/>
                <w:szCs w:val="24"/>
              </w:rPr>
              <w:t>Reflect on and articulate the epistemological and linguistic choices embedded in the communicative conventions of their discipline, including the role of English as an academic lingua franca.</w:t>
            </w:r>
          </w:p>
          <w:p w14:paraId="00000022" w14:textId="77777777" w:rsidR="00785DC0" w:rsidRDefault="00000000">
            <w:pPr>
              <w:numPr>
                <w:ilvl w:val="0"/>
                <w:numId w:val="19"/>
              </w:numPr>
              <w:jc w:val="both"/>
              <w:rPr>
                <w:rFonts w:ascii="Aptos" w:eastAsia="Aptos" w:hAnsi="Aptos" w:cs="Aptos"/>
                <w:sz w:val="24"/>
                <w:szCs w:val="24"/>
              </w:rPr>
            </w:pPr>
            <w:r>
              <w:rPr>
                <w:rFonts w:ascii="Aptos" w:eastAsia="Aptos" w:hAnsi="Aptos" w:cs="Aptos"/>
                <w:sz w:val="24"/>
                <w:szCs w:val="24"/>
              </w:rPr>
              <w:t>Draw critically and strategically on their multilingual academic repertoire — including conventions from non-Anglophone scholarly traditions — in the design and framing of their work.</w:t>
            </w:r>
          </w:p>
        </w:tc>
      </w:tr>
    </w:tbl>
    <w:p w14:paraId="00000023" w14:textId="77777777" w:rsidR="00785DC0" w:rsidRDefault="00785DC0">
      <w:pPr>
        <w:pBdr>
          <w:top w:val="nil"/>
          <w:left w:val="nil"/>
          <w:bottom w:val="nil"/>
          <w:right w:val="nil"/>
          <w:between w:val="nil"/>
        </w:pBdr>
        <w:spacing w:after="0"/>
        <w:ind w:left="360"/>
        <w:rPr>
          <w:rFonts w:ascii="Aptos" w:eastAsia="Aptos" w:hAnsi="Aptos" w:cs="Aptos"/>
          <w:b/>
          <w:bCs/>
          <w:color w:val="243673"/>
          <w:sz w:val="24"/>
          <w:szCs w:val="24"/>
        </w:rPr>
      </w:pPr>
    </w:p>
    <w:p w14:paraId="00000024" w14:textId="77777777" w:rsidR="00785DC0" w:rsidRDefault="00000000">
      <w:pPr>
        <w:numPr>
          <w:ilvl w:val="0"/>
          <w:numId w:val="11"/>
        </w:numPr>
        <w:pBdr>
          <w:top w:val="nil"/>
          <w:left w:val="nil"/>
          <w:bottom w:val="nil"/>
          <w:right w:val="nil"/>
          <w:between w:val="nil"/>
        </w:pBdr>
        <w:spacing w:after="0"/>
        <w:rPr>
          <w:rFonts w:ascii="Aptos" w:eastAsia="Aptos" w:hAnsi="Aptos" w:cs="Aptos"/>
          <w:color w:val="000000"/>
          <w:sz w:val="24"/>
          <w:szCs w:val="24"/>
        </w:rPr>
      </w:pPr>
      <w:r>
        <w:rPr>
          <w:rFonts w:ascii="Aptos" w:eastAsia="Aptos" w:hAnsi="Aptos" w:cs="Aptos"/>
          <w:b/>
          <w:bCs/>
          <w:color w:val="000000"/>
          <w:sz w:val="24"/>
          <w:szCs w:val="24"/>
        </w:rPr>
        <w:t>Communicative language activities expressed through CEFRCV descriptors (i.e., the “What”):</w:t>
      </w:r>
    </w:p>
    <w:p w14:paraId="00000025" w14:textId="77777777" w:rsidR="00785DC0"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 xml:space="preserve">Reception </w:t>
      </w:r>
    </w:p>
    <w:tbl>
      <w:tblPr>
        <w:tblStyle w:val="a4"/>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785DC0" w14:paraId="0EC16ADF" w14:textId="77777777">
        <w:tc>
          <w:tcPr>
            <w:tcW w:w="9137" w:type="dxa"/>
          </w:tcPr>
          <w:p w14:paraId="00000026" w14:textId="77777777" w:rsidR="00785DC0" w:rsidRDefault="00000000">
            <w:pPr>
              <w:numPr>
                <w:ilvl w:val="0"/>
                <w:numId w:val="1"/>
              </w:numPr>
              <w:jc w:val="both"/>
              <w:rPr>
                <w:rFonts w:ascii="Aptos" w:eastAsia="Aptos" w:hAnsi="Aptos" w:cs="Aptos"/>
                <w:sz w:val="24"/>
                <w:szCs w:val="24"/>
              </w:rPr>
            </w:pPr>
            <w:r>
              <w:rPr>
                <w:rFonts w:ascii="Aptos" w:eastAsia="Aptos" w:hAnsi="Aptos" w:cs="Aptos"/>
                <w:sz w:val="24"/>
                <w:szCs w:val="24"/>
              </w:rPr>
              <w:t>Can read and critically appraise complex, abstract academic texts including original research, theoretical frameworks, and methodological debates, with full comprehension of implicit meaning, hedging, and scholarly stance. (C2 – Overall Reading Comprehension)</w:t>
            </w:r>
          </w:p>
          <w:p w14:paraId="00000027" w14:textId="77777777" w:rsidR="00785DC0" w:rsidRDefault="00000000">
            <w:pPr>
              <w:numPr>
                <w:ilvl w:val="0"/>
                <w:numId w:val="1"/>
              </w:numPr>
              <w:jc w:val="both"/>
              <w:rPr>
                <w:rFonts w:ascii="Aptos" w:eastAsia="Aptos" w:hAnsi="Aptos" w:cs="Aptos"/>
                <w:sz w:val="24"/>
                <w:szCs w:val="24"/>
              </w:rPr>
            </w:pPr>
            <w:r>
              <w:rPr>
                <w:rFonts w:ascii="Aptos" w:eastAsia="Aptos" w:hAnsi="Aptos" w:cs="Aptos"/>
                <w:sz w:val="24"/>
                <w:szCs w:val="24"/>
              </w:rPr>
              <w:t>Can identify and interpret the argumentative and rhetorical structure of academic papers across different disciplinary genres, including recognition of gap statements, claims, warrants, concessions, and rebuttal strategies. (C2 – Reading for Information and Argument)</w:t>
            </w:r>
          </w:p>
        </w:tc>
      </w:tr>
    </w:tbl>
    <w:p w14:paraId="00000028" w14:textId="77777777" w:rsidR="00785DC0" w:rsidRDefault="00785DC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00000029" w14:textId="77777777" w:rsidR="00785DC0"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 xml:space="preserve">Production </w:t>
      </w:r>
    </w:p>
    <w:tbl>
      <w:tblPr>
        <w:tblStyle w:val="a5"/>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785DC0" w14:paraId="2D2DB625" w14:textId="77777777">
        <w:tc>
          <w:tcPr>
            <w:tcW w:w="9137" w:type="dxa"/>
          </w:tcPr>
          <w:p w14:paraId="0000002A" w14:textId="77777777" w:rsidR="00785DC0" w:rsidRDefault="00000000">
            <w:pPr>
              <w:numPr>
                <w:ilvl w:val="0"/>
                <w:numId w:val="5"/>
              </w:numPr>
              <w:jc w:val="both"/>
              <w:rPr>
                <w:rFonts w:ascii="Aptos" w:eastAsia="Aptos" w:hAnsi="Aptos" w:cs="Aptos"/>
                <w:sz w:val="24"/>
                <w:szCs w:val="24"/>
              </w:rPr>
            </w:pPr>
            <w:r>
              <w:rPr>
                <w:rFonts w:ascii="Aptos" w:eastAsia="Aptos" w:hAnsi="Aptos" w:cs="Aptos"/>
                <w:sz w:val="24"/>
                <w:szCs w:val="24"/>
              </w:rPr>
              <w:t>Can write complex, well-structured academic texts that demonstrate command of discipline-specific conventions, nuanced argumentation, precise hedging, and appropriate scholarly voice. (C2 – Overall Written Production)</w:t>
            </w:r>
          </w:p>
          <w:p w14:paraId="0000002B" w14:textId="77777777" w:rsidR="00785DC0" w:rsidRDefault="00000000">
            <w:pPr>
              <w:numPr>
                <w:ilvl w:val="0"/>
                <w:numId w:val="5"/>
              </w:numPr>
              <w:jc w:val="both"/>
              <w:rPr>
                <w:rFonts w:ascii="Aptos" w:eastAsia="Aptos" w:hAnsi="Aptos" w:cs="Aptos"/>
                <w:sz w:val="24"/>
                <w:szCs w:val="24"/>
              </w:rPr>
            </w:pPr>
            <w:r>
              <w:rPr>
                <w:rFonts w:ascii="Aptos" w:eastAsia="Aptos" w:hAnsi="Aptos" w:cs="Aptos"/>
                <w:sz w:val="24"/>
                <w:szCs w:val="24"/>
              </w:rPr>
              <w:t>Can produce a concise, accessible plain-language summary of complex research findings, adapting vocabulary, structure, and framing to a non-specialist audience without loss of substantive accuracy. (C2 – Creative and Functional Writing)</w:t>
            </w:r>
          </w:p>
          <w:p w14:paraId="0000002C" w14:textId="77777777" w:rsidR="00785DC0" w:rsidRDefault="00000000">
            <w:pPr>
              <w:numPr>
                <w:ilvl w:val="0"/>
                <w:numId w:val="5"/>
              </w:numPr>
              <w:jc w:val="both"/>
              <w:rPr>
                <w:rFonts w:ascii="Aptos" w:eastAsia="Aptos" w:hAnsi="Aptos" w:cs="Aptos"/>
                <w:sz w:val="24"/>
                <w:szCs w:val="24"/>
              </w:rPr>
            </w:pPr>
            <w:r>
              <w:rPr>
                <w:rFonts w:ascii="Aptos" w:eastAsia="Aptos" w:hAnsi="Aptos" w:cs="Aptos"/>
                <w:sz w:val="24"/>
                <w:szCs w:val="24"/>
              </w:rPr>
              <w:t xml:space="preserve">Can deliver a fluent, well-timed, rhetorically effective oral presentation to an academic audience, deploying appropriate academic discourse markers, </w:t>
            </w:r>
            <w:r>
              <w:rPr>
                <w:rFonts w:ascii="Aptos" w:eastAsia="Aptos" w:hAnsi="Aptos" w:cs="Aptos"/>
                <w:sz w:val="24"/>
                <w:szCs w:val="24"/>
              </w:rPr>
              <w:lastRenderedPageBreak/>
              <w:t>audience engagement strategies, and disciplinary terminology with full control. (C2 – Overall Oral Production)</w:t>
            </w:r>
          </w:p>
        </w:tc>
      </w:tr>
    </w:tbl>
    <w:p w14:paraId="0000002D" w14:textId="77777777" w:rsidR="00785DC0" w:rsidRDefault="00785DC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0000002E" w14:textId="77777777" w:rsidR="00785DC0"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Interaction</w:t>
      </w:r>
    </w:p>
    <w:tbl>
      <w:tblPr>
        <w:tblStyle w:val="a6"/>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785DC0" w14:paraId="4DB167B5" w14:textId="77777777">
        <w:tc>
          <w:tcPr>
            <w:tcW w:w="9137" w:type="dxa"/>
          </w:tcPr>
          <w:p w14:paraId="0000002F" w14:textId="77777777" w:rsidR="00785DC0" w:rsidRDefault="00000000">
            <w:pPr>
              <w:numPr>
                <w:ilvl w:val="0"/>
                <w:numId w:val="2"/>
              </w:numPr>
              <w:jc w:val="both"/>
              <w:rPr>
                <w:rFonts w:ascii="Aptos" w:eastAsia="Aptos" w:hAnsi="Aptos" w:cs="Aptos"/>
                <w:sz w:val="24"/>
                <w:szCs w:val="24"/>
              </w:rPr>
            </w:pPr>
            <w:r>
              <w:rPr>
                <w:rFonts w:ascii="Aptos" w:eastAsia="Aptos" w:hAnsi="Aptos" w:cs="Aptos"/>
                <w:sz w:val="24"/>
                <w:szCs w:val="24"/>
              </w:rPr>
              <w:t>Can participate spontaneously and with scholarly authority in academic discussion, responding to complex questions, building on interlocutors’ points, defending positions, and conceding where appropriate. (C2 – Overall Oral Interaction)</w:t>
            </w:r>
          </w:p>
          <w:p w14:paraId="00000030" w14:textId="77777777" w:rsidR="00785DC0" w:rsidRDefault="00000000">
            <w:pPr>
              <w:numPr>
                <w:ilvl w:val="0"/>
                <w:numId w:val="2"/>
              </w:numPr>
              <w:jc w:val="both"/>
              <w:rPr>
                <w:rFonts w:ascii="Aptos" w:eastAsia="Aptos" w:hAnsi="Aptos" w:cs="Aptos"/>
                <w:sz w:val="24"/>
                <w:szCs w:val="24"/>
              </w:rPr>
            </w:pPr>
            <w:r>
              <w:rPr>
                <w:rFonts w:ascii="Aptos" w:eastAsia="Aptos" w:hAnsi="Aptos" w:cs="Aptos"/>
                <w:sz w:val="24"/>
                <w:szCs w:val="24"/>
              </w:rPr>
              <w:t xml:space="preserve">Can chair or contribute to a seminar or panel discussion on a research topic, regulating turn-taking, reformulating, and </w:t>
            </w:r>
            <w:proofErr w:type="spellStart"/>
            <w:r>
              <w:rPr>
                <w:rFonts w:ascii="Aptos" w:eastAsia="Aptos" w:hAnsi="Aptos" w:cs="Aptos"/>
                <w:sz w:val="24"/>
                <w:szCs w:val="24"/>
              </w:rPr>
              <w:t>synthesising</w:t>
            </w:r>
            <w:proofErr w:type="spellEnd"/>
            <w:r>
              <w:rPr>
                <w:rFonts w:ascii="Aptos" w:eastAsia="Aptos" w:hAnsi="Aptos" w:cs="Aptos"/>
                <w:sz w:val="24"/>
                <w:szCs w:val="24"/>
              </w:rPr>
              <w:t xml:space="preserve"> contributions from multiple participants. (C2 – Formal Discussion and Meetings)</w:t>
            </w:r>
          </w:p>
        </w:tc>
      </w:tr>
    </w:tbl>
    <w:p w14:paraId="00000031" w14:textId="77777777" w:rsidR="00785DC0" w:rsidRDefault="00785DC0">
      <w:pPr>
        <w:pBdr>
          <w:top w:val="nil"/>
          <w:left w:val="nil"/>
          <w:bottom w:val="nil"/>
          <w:right w:val="nil"/>
          <w:between w:val="nil"/>
        </w:pBdr>
        <w:spacing w:after="0" w:line="240" w:lineRule="auto"/>
        <w:ind w:left="927"/>
        <w:rPr>
          <w:rFonts w:ascii="Aptos" w:eastAsia="Aptos" w:hAnsi="Aptos" w:cs="Aptos"/>
          <w:b/>
          <w:bCs/>
          <w:color w:val="243673"/>
          <w:sz w:val="24"/>
          <w:szCs w:val="24"/>
        </w:rPr>
      </w:pPr>
    </w:p>
    <w:p w14:paraId="00000032" w14:textId="77777777" w:rsidR="00785DC0"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243673"/>
          <w:sz w:val="24"/>
          <w:szCs w:val="24"/>
        </w:rPr>
      </w:pPr>
      <w:r>
        <w:rPr>
          <w:rFonts w:ascii="Aptos" w:eastAsia="Aptos" w:hAnsi="Aptos" w:cs="Aptos"/>
          <w:b/>
          <w:bCs/>
          <w:color w:val="243673"/>
          <w:sz w:val="24"/>
          <w:szCs w:val="24"/>
        </w:rPr>
        <w:t>Mediation</w:t>
      </w:r>
    </w:p>
    <w:tbl>
      <w:tblPr>
        <w:tblStyle w:val="a7"/>
        <w:tblW w:w="9061"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1"/>
      </w:tblGrid>
      <w:tr w:rsidR="00785DC0" w14:paraId="29E4626C" w14:textId="77777777">
        <w:tc>
          <w:tcPr>
            <w:tcW w:w="9061" w:type="dxa"/>
          </w:tcPr>
          <w:p w14:paraId="00000033" w14:textId="77777777" w:rsidR="00785DC0" w:rsidRDefault="00000000">
            <w:pPr>
              <w:numPr>
                <w:ilvl w:val="0"/>
                <w:numId w:val="17"/>
              </w:numPr>
              <w:jc w:val="both"/>
              <w:rPr>
                <w:rFonts w:ascii="Aptos" w:eastAsia="Aptos" w:hAnsi="Aptos" w:cs="Aptos"/>
                <w:sz w:val="24"/>
                <w:szCs w:val="24"/>
              </w:rPr>
            </w:pPr>
            <w:r>
              <w:rPr>
                <w:rFonts w:ascii="Aptos" w:eastAsia="Aptos" w:hAnsi="Aptos" w:cs="Aptos"/>
                <w:sz w:val="24"/>
                <w:szCs w:val="24"/>
              </w:rPr>
              <w:t>Can accurately and fluidly render complex academic content from another language into English academic prose, maintaining the intellectual substance, argumentative structure, and disciplinary register of the source, going well beyond paraphrase to genuine conceptual mediation. (C2 – Mediating a Text)</w:t>
            </w:r>
          </w:p>
          <w:p w14:paraId="00000034" w14:textId="77777777" w:rsidR="00785DC0" w:rsidRDefault="00000000">
            <w:pPr>
              <w:numPr>
                <w:ilvl w:val="0"/>
                <w:numId w:val="17"/>
              </w:numPr>
              <w:jc w:val="both"/>
              <w:rPr>
                <w:rFonts w:ascii="Aptos" w:eastAsia="Aptos" w:hAnsi="Aptos" w:cs="Aptos"/>
                <w:sz w:val="24"/>
                <w:szCs w:val="24"/>
              </w:rPr>
            </w:pPr>
            <w:r>
              <w:rPr>
                <w:rFonts w:ascii="Aptos" w:eastAsia="Aptos" w:hAnsi="Aptos" w:cs="Aptos"/>
                <w:sz w:val="24"/>
                <w:szCs w:val="24"/>
              </w:rPr>
              <w:t xml:space="preserve">Can facilitate a cross-disciplinary or multilingual research discussion, </w:t>
            </w:r>
            <w:proofErr w:type="spellStart"/>
            <w:r>
              <w:rPr>
                <w:rFonts w:ascii="Aptos" w:eastAsia="Aptos" w:hAnsi="Aptos" w:cs="Aptos"/>
                <w:sz w:val="24"/>
                <w:szCs w:val="24"/>
              </w:rPr>
              <w:t>synthesising</w:t>
            </w:r>
            <w:proofErr w:type="spellEnd"/>
            <w:r>
              <w:rPr>
                <w:rFonts w:ascii="Aptos" w:eastAsia="Aptos" w:hAnsi="Aptos" w:cs="Aptos"/>
                <w:sz w:val="24"/>
                <w:szCs w:val="24"/>
              </w:rPr>
              <w:t xml:space="preserve"> contributions from participants with different disciplinary and linguistic </w:t>
            </w:r>
            <w:proofErr w:type="gramStart"/>
            <w:r>
              <w:rPr>
                <w:rFonts w:ascii="Aptos" w:eastAsia="Aptos" w:hAnsi="Aptos" w:cs="Aptos"/>
                <w:sz w:val="24"/>
                <w:szCs w:val="24"/>
              </w:rPr>
              <w:t>backgrounds, and</w:t>
            </w:r>
            <w:proofErr w:type="gramEnd"/>
            <w:r>
              <w:rPr>
                <w:rFonts w:ascii="Aptos" w:eastAsia="Aptos" w:hAnsi="Aptos" w:cs="Aptos"/>
                <w:sz w:val="24"/>
                <w:szCs w:val="24"/>
              </w:rPr>
              <w:t xml:space="preserve"> producing a shared conceptual summary. (C2 – Facilitating Pluricultural Space)</w:t>
            </w:r>
          </w:p>
          <w:p w14:paraId="00000035" w14:textId="77777777" w:rsidR="00785DC0" w:rsidRDefault="00000000">
            <w:pPr>
              <w:numPr>
                <w:ilvl w:val="0"/>
                <w:numId w:val="17"/>
              </w:numPr>
              <w:jc w:val="both"/>
              <w:rPr>
                <w:rFonts w:ascii="Aptos" w:eastAsia="Aptos" w:hAnsi="Aptos" w:cs="Aptos"/>
                <w:sz w:val="24"/>
                <w:szCs w:val="24"/>
              </w:rPr>
            </w:pPr>
            <w:r>
              <w:rPr>
                <w:rFonts w:ascii="Aptos" w:eastAsia="Aptos" w:hAnsi="Aptos" w:cs="Aptos"/>
                <w:sz w:val="24"/>
                <w:szCs w:val="24"/>
              </w:rPr>
              <w:t xml:space="preserve">Can adapt a complex academic argument into a form accessible to a policy or public audience, making principled decisions about what to foreground, simplify, or </w:t>
            </w:r>
            <w:proofErr w:type="spellStart"/>
            <w:r>
              <w:rPr>
                <w:rFonts w:ascii="Aptos" w:eastAsia="Aptos" w:hAnsi="Aptos" w:cs="Aptos"/>
                <w:sz w:val="24"/>
                <w:szCs w:val="24"/>
              </w:rPr>
              <w:t>contextualise</w:t>
            </w:r>
            <w:proofErr w:type="spellEnd"/>
            <w:r>
              <w:rPr>
                <w:rFonts w:ascii="Aptos" w:eastAsia="Aptos" w:hAnsi="Aptos" w:cs="Aptos"/>
                <w:sz w:val="24"/>
                <w:szCs w:val="24"/>
              </w:rPr>
              <w:t xml:space="preserve"> without distorting the intellectual content. (C2 – Mediating Communication in Specialist Discourse)</w:t>
            </w:r>
          </w:p>
          <w:p w14:paraId="00000036" w14:textId="77777777" w:rsidR="00785DC0" w:rsidRDefault="00000000">
            <w:pPr>
              <w:numPr>
                <w:ilvl w:val="0"/>
                <w:numId w:val="17"/>
              </w:numPr>
              <w:jc w:val="both"/>
              <w:rPr>
                <w:rFonts w:ascii="Aptos" w:eastAsia="Aptos" w:hAnsi="Aptos" w:cs="Aptos"/>
                <w:sz w:val="24"/>
                <w:szCs w:val="24"/>
              </w:rPr>
            </w:pPr>
            <w:r>
              <w:rPr>
                <w:rFonts w:ascii="Aptos" w:eastAsia="Aptos" w:hAnsi="Aptos" w:cs="Aptos"/>
                <w:sz w:val="24"/>
                <w:szCs w:val="24"/>
              </w:rPr>
              <w:t>Can critically evaluate the mediation choices made in a published plain-language research summary and reflect on the trade-offs between accessibility and scholarly precision. (C2 – Critical Mediation Appraisal)</w:t>
            </w:r>
          </w:p>
        </w:tc>
      </w:tr>
    </w:tbl>
    <w:p w14:paraId="00000037" w14:textId="77777777" w:rsidR="00785DC0" w:rsidRDefault="00785DC0">
      <w:pPr>
        <w:pBdr>
          <w:top w:val="nil"/>
          <w:left w:val="nil"/>
          <w:bottom w:val="nil"/>
          <w:right w:val="nil"/>
          <w:between w:val="nil"/>
        </w:pBdr>
        <w:spacing w:after="0" w:line="240" w:lineRule="auto"/>
        <w:rPr>
          <w:rFonts w:ascii="Aptos" w:eastAsia="Aptos" w:hAnsi="Aptos" w:cs="Aptos"/>
          <w:b/>
          <w:bCs/>
          <w:color w:val="243673"/>
          <w:sz w:val="24"/>
          <w:szCs w:val="24"/>
        </w:rPr>
      </w:pPr>
    </w:p>
    <w:p w14:paraId="00000038" w14:textId="77777777" w:rsidR="00785DC0" w:rsidRDefault="00785DC0">
      <w:pPr>
        <w:spacing w:after="0"/>
        <w:rPr>
          <w:rFonts w:ascii="Aptos" w:eastAsia="Aptos" w:hAnsi="Aptos" w:cs="Aptos"/>
          <w:b/>
          <w:bCs/>
          <w:color w:val="243673"/>
          <w:sz w:val="24"/>
          <w:szCs w:val="24"/>
        </w:rPr>
      </w:pPr>
    </w:p>
    <w:p w14:paraId="00000039" w14:textId="77777777" w:rsidR="00785DC0" w:rsidRDefault="00000000">
      <w:pPr>
        <w:numPr>
          <w:ilvl w:val="0"/>
          <w:numId w:val="11"/>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Communicative competences expressed through CEFRCV descriptors (i.e., the “How”):</w:t>
      </w:r>
    </w:p>
    <w:p w14:paraId="0000003A" w14:textId="77777777" w:rsidR="00785DC0" w:rsidRDefault="00785DC0">
      <w:pPr>
        <w:pBdr>
          <w:top w:val="nil"/>
          <w:left w:val="nil"/>
          <w:bottom w:val="nil"/>
          <w:right w:val="nil"/>
          <w:between w:val="nil"/>
        </w:pBdr>
        <w:spacing w:after="0"/>
        <w:ind w:left="360"/>
        <w:rPr>
          <w:rFonts w:ascii="Aptos" w:eastAsia="Aptos" w:hAnsi="Aptos" w:cs="Aptos"/>
          <w:b/>
          <w:bCs/>
          <w:color w:val="000000"/>
          <w:sz w:val="24"/>
          <w:szCs w:val="24"/>
        </w:rPr>
      </w:pPr>
    </w:p>
    <w:p w14:paraId="0000003B" w14:textId="77777777" w:rsidR="00785DC0" w:rsidRDefault="00000000">
      <w:pPr>
        <w:numPr>
          <w:ilvl w:val="1"/>
          <w:numId w:val="11"/>
        </w:numPr>
        <w:pBdr>
          <w:top w:val="nil"/>
          <w:left w:val="nil"/>
          <w:bottom w:val="nil"/>
          <w:right w:val="nil"/>
          <w:between w:val="nil"/>
        </w:pBdr>
        <w:ind w:right="-568"/>
        <w:rPr>
          <w:rFonts w:ascii="Aptos" w:eastAsia="Aptos" w:hAnsi="Aptos" w:cs="Aptos"/>
          <w:b/>
          <w:bCs/>
          <w:color w:val="000000"/>
          <w:sz w:val="24"/>
          <w:szCs w:val="24"/>
        </w:rPr>
      </w:pPr>
      <w:r>
        <w:rPr>
          <w:rFonts w:ascii="Aptos" w:eastAsia="Aptos" w:hAnsi="Aptos" w:cs="Aptos"/>
          <w:b/>
          <w:bCs/>
          <w:color w:val="000000"/>
          <w:sz w:val="24"/>
          <w:szCs w:val="24"/>
        </w:rPr>
        <w:t>Linguistic (grammar / vocabulary / phonology)</w:t>
      </w:r>
    </w:p>
    <w:tbl>
      <w:tblPr>
        <w:tblStyle w:val="a8"/>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785DC0" w14:paraId="39A090A4" w14:textId="77777777">
        <w:tc>
          <w:tcPr>
            <w:tcW w:w="9137" w:type="dxa"/>
          </w:tcPr>
          <w:p w14:paraId="0000003C" w14:textId="77777777" w:rsidR="00785DC0" w:rsidRDefault="00000000">
            <w:pPr>
              <w:numPr>
                <w:ilvl w:val="0"/>
                <w:numId w:val="9"/>
              </w:numPr>
              <w:jc w:val="both"/>
              <w:rPr>
                <w:rFonts w:ascii="Aptos" w:eastAsia="Aptos" w:hAnsi="Aptos" w:cs="Aptos"/>
                <w:sz w:val="24"/>
                <w:szCs w:val="24"/>
              </w:rPr>
            </w:pPr>
            <w:r>
              <w:rPr>
                <w:rFonts w:ascii="Aptos" w:eastAsia="Aptos" w:hAnsi="Aptos" w:cs="Aptos"/>
                <w:sz w:val="24"/>
                <w:szCs w:val="24"/>
              </w:rPr>
              <w:t xml:space="preserve">Has complete command of a broad academic and disciplinary lexicon, deploying technical terminology with full precision and appropriacy; can distinguish between </w:t>
            </w:r>
            <w:proofErr w:type="gramStart"/>
            <w:r>
              <w:rPr>
                <w:rFonts w:ascii="Aptos" w:eastAsia="Aptos" w:hAnsi="Aptos" w:cs="Aptos"/>
                <w:sz w:val="24"/>
                <w:szCs w:val="24"/>
              </w:rPr>
              <w:t>near-synonyms</w:t>
            </w:r>
            <w:proofErr w:type="gramEnd"/>
            <w:r>
              <w:rPr>
                <w:rFonts w:ascii="Aptos" w:eastAsia="Aptos" w:hAnsi="Aptos" w:cs="Aptos"/>
                <w:sz w:val="24"/>
                <w:szCs w:val="24"/>
              </w:rPr>
              <w:t xml:space="preserve"> with subtle semantic and register differences. (C2 – Vocabulary Range and Control)</w:t>
            </w:r>
          </w:p>
          <w:p w14:paraId="0000003D" w14:textId="77777777" w:rsidR="00785DC0" w:rsidRDefault="00000000">
            <w:pPr>
              <w:numPr>
                <w:ilvl w:val="0"/>
                <w:numId w:val="9"/>
              </w:numPr>
              <w:jc w:val="both"/>
              <w:rPr>
                <w:rFonts w:ascii="Aptos" w:eastAsia="Aptos" w:hAnsi="Aptos" w:cs="Aptos"/>
                <w:sz w:val="24"/>
                <w:szCs w:val="24"/>
              </w:rPr>
            </w:pPr>
            <w:r>
              <w:rPr>
                <w:rFonts w:ascii="Aptos" w:eastAsia="Aptos" w:hAnsi="Aptos" w:cs="Aptos"/>
                <w:sz w:val="24"/>
                <w:szCs w:val="24"/>
              </w:rPr>
              <w:t>Demonstrates full grammatical accuracy, including command of complex syntactic constructions (</w:t>
            </w:r>
            <w:proofErr w:type="spellStart"/>
            <w:r>
              <w:rPr>
                <w:rFonts w:ascii="Aptos" w:eastAsia="Aptos" w:hAnsi="Aptos" w:cs="Aptos"/>
                <w:sz w:val="24"/>
                <w:szCs w:val="24"/>
              </w:rPr>
              <w:t>nominalisation</w:t>
            </w:r>
            <w:proofErr w:type="spellEnd"/>
            <w:r>
              <w:rPr>
                <w:rFonts w:ascii="Aptos" w:eastAsia="Aptos" w:hAnsi="Aptos" w:cs="Aptos"/>
                <w:sz w:val="24"/>
                <w:szCs w:val="24"/>
              </w:rPr>
              <w:t>, passive agency management, embedded clausal modification) central to academic prose. (C2 – Grammatical Accuracy)</w:t>
            </w:r>
          </w:p>
          <w:p w14:paraId="0000003E" w14:textId="77777777" w:rsidR="00785DC0" w:rsidRDefault="00000000">
            <w:pPr>
              <w:numPr>
                <w:ilvl w:val="0"/>
                <w:numId w:val="9"/>
              </w:numPr>
              <w:jc w:val="both"/>
              <w:rPr>
                <w:rFonts w:ascii="Aptos" w:eastAsia="Aptos" w:hAnsi="Aptos" w:cs="Aptos"/>
                <w:sz w:val="24"/>
                <w:szCs w:val="24"/>
              </w:rPr>
            </w:pPr>
            <w:r>
              <w:rPr>
                <w:rFonts w:ascii="Aptos" w:eastAsia="Aptos" w:hAnsi="Aptos" w:cs="Aptos"/>
                <w:sz w:val="24"/>
                <w:szCs w:val="24"/>
              </w:rPr>
              <w:t>Can produce extended, cohesive academic discourse across multiple paragraphs and sections, managing macro-structure (IMRD, theoretical argumentation, discursive essay) and micro-structure (topic sentences, hedging, citation integration) with equal mastery. (C2 – Overall Coherence and Cohesion)</w:t>
            </w:r>
          </w:p>
          <w:p w14:paraId="0000003F" w14:textId="77777777" w:rsidR="00785DC0" w:rsidRDefault="00000000">
            <w:pPr>
              <w:numPr>
                <w:ilvl w:val="0"/>
                <w:numId w:val="9"/>
              </w:numPr>
              <w:jc w:val="both"/>
              <w:rPr>
                <w:rFonts w:ascii="Aptos" w:eastAsia="Aptos" w:hAnsi="Aptos" w:cs="Aptos"/>
                <w:sz w:val="24"/>
                <w:szCs w:val="24"/>
              </w:rPr>
            </w:pPr>
            <w:r>
              <w:rPr>
                <w:rFonts w:ascii="Aptos" w:eastAsia="Aptos" w:hAnsi="Aptos" w:cs="Aptos"/>
                <w:sz w:val="24"/>
                <w:szCs w:val="24"/>
              </w:rPr>
              <w:lastRenderedPageBreak/>
              <w:t>Demonstrates full control of academic orthographic and typographic conventions, including citation formatting, discipline-specific abbreviation, and use of figures and tables. (C2 – Orthographic Control)</w:t>
            </w:r>
          </w:p>
        </w:tc>
      </w:tr>
    </w:tbl>
    <w:p w14:paraId="00000040" w14:textId="77777777" w:rsidR="00785DC0" w:rsidRDefault="00785DC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00000041" w14:textId="77777777" w:rsidR="00785DC0" w:rsidRDefault="00000000">
      <w:pPr>
        <w:numPr>
          <w:ilvl w:val="1"/>
          <w:numId w:val="11"/>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Pragmatic and sociolinguistic (functional/discourse, register/contextual appropriateness)</w:t>
      </w:r>
    </w:p>
    <w:tbl>
      <w:tblPr>
        <w:tblStyle w:val="a9"/>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785DC0" w14:paraId="5FD9C163" w14:textId="77777777">
        <w:tc>
          <w:tcPr>
            <w:tcW w:w="9137" w:type="dxa"/>
          </w:tcPr>
          <w:p w14:paraId="00000042" w14:textId="77777777" w:rsidR="00785DC0" w:rsidRDefault="00000000">
            <w:pPr>
              <w:numPr>
                <w:ilvl w:val="0"/>
                <w:numId w:val="6"/>
              </w:numPr>
              <w:jc w:val="both"/>
              <w:rPr>
                <w:rFonts w:ascii="Aptos" w:eastAsia="Aptos" w:hAnsi="Aptos" w:cs="Aptos"/>
                <w:sz w:val="24"/>
                <w:szCs w:val="24"/>
              </w:rPr>
            </w:pPr>
            <w:r>
              <w:rPr>
                <w:rFonts w:ascii="Aptos" w:eastAsia="Aptos" w:hAnsi="Aptos" w:cs="Aptos"/>
                <w:sz w:val="24"/>
                <w:szCs w:val="24"/>
              </w:rPr>
              <w:t>Can navigate and produce texts at multiple registers simultaneously — from the hedged, impersonal formality of a journal article to the accessible directness of a policy brief — with complete control and awareness of the communicative effect of each choice. (C2 – Sociolinguistic Appropriateness)</w:t>
            </w:r>
          </w:p>
          <w:p w14:paraId="00000043" w14:textId="77777777" w:rsidR="00785DC0" w:rsidRDefault="00000000">
            <w:pPr>
              <w:numPr>
                <w:ilvl w:val="0"/>
                <w:numId w:val="6"/>
              </w:numPr>
              <w:jc w:val="both"/>
              <w:rPr>
                <w:rFonts w:ascii="Aptos" w:eastAsia="Aptos" w:hAnsi="Aptos" w:cs="Aptos"/>
                <w:sz w:val="24"/>
                <w:szCs w:val="24"/>
              </w:rPr>
            </w:pPr>
            <w:r>
              <w:rPr>
                <w:rFonts w:ascii="Aptos" w:eastAsia="Aptos" w:hAnsi="Aptos" w:cs="Aptos"/>
                <w:sz w:val="24"/>
                <w:szCs w:val="24"/>
              </w:rPr>
              <w:t>Can deploy a full range of epistemic stance markers — hedges, boosters, attitude markers, and self-mention conventions — in a manner that reflects disciplinary norms and manages the balance between scholarly authority and appropriate epistemic humility. (C2 – Pragmatic Fluency)</w:t>
            </w:r>
          </w:p>
          <w:p w14:paraId="00000044" w14:textId="77777777" w:rsidR="00785DC0" w:rsidRDefault="00000000">
            <w:pPr>
              <w:numPr>
                <w:ilvl w:val="0"/>
                <w:numId w:val="6"/>
              </w:numPr>
              <w:jc w:val="both"/>
              <w:rPr>
                <w:rFonts w:ascii="Aptos" w:eastAsia="Aptos" w:hAnsi="Aptos" w:cs="Aptos"/>
                <w:sz w:val="24"/>
                <w:szCs w:val="24"/>
              </w:rPr>
            </w:pPr>
            <w:r>
              <w:rPr>
                <w:rFonts w:ascii="Aptos" w:eastAsia="Aptos" w:hAnsi="Aptos" w:cs="Aptos"/>
                <w:sz w:val="24"/>
                <w:szCs w:val="24"/>
              </w:rPr>
              <w:t>Can construct multi-step arguments that integrate evidence, critical engagement with the literature, and original analytical contribution, using a range of rhetorical strategies including concession-refutation, exemplification, and analogy. (C2 – Propositional Precision and Rhetorical Control)</w:t>
            </w:r>
          </w:p>
        </w:tc>
      </w:tr>
    </w:tbl>
    <w:p w14:paraId="00000045" w14:textId="77777777" w:rsidR="00785DC0" w:rsidRDefault="00785DC0">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00000046" w14:textId="77777777" w:rsidR="00785DC0" w:rsidRDefault="00785DC0">
      <w:pPr>
        <w:spacing w:after="0"/>
        <w:rPr>
          <w:rFonts w:ascii="Aptos" w:eastAsia="Aptos" w:hAnsi="Aptos" w:cs="Aptos"/>
          <w:b/>
          <w:bCs/>
          <w:color w:val="243673"/>
          <w:sz w:val="24"/>
          <w:szCs w:val="24"/>
        </w:rPr>
      </w:pPr>
    </w:p>
    <w:p w14:paraId="00000047" w14:textId="77777777" w:rsidR="00785DC0" w:rsidRDefault="00000000">
      <w:pPr>
        <w:numPr>
          <w:ilvl w:val="0"/>
          <w:numId w:val="14"/>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Plurilingual/Pluricultural dimension</w:t>
      </w:r>
    </w:p>
    <w:tbl>
      <w:tblPr>
        <w:tblStyle w:val="aa"/>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785DC0" w14:paraId="3FDCDCB0" w14:textId="77777777">
        <w:tc>
          <w:tcPr>
            <w:tcW w:w="9202" w:type="dxa"/>
          </w:tcPr>
          <w:p w14:paraId="00000048" w14:textId="77777777" w:rsidR="00785DC0" w:rsidRDefault="00000000">
            <w:pPr>
              <w:numPr>
                <w:ilvl w:val="0"/>
                <w:numId w:val="10"/>
              </w:numPr>
              <w:jc w:val="both"/>
              <w:rPr>
                <w:rFonts w:ascii="Aptos" w:eastAsia="Aptos" w:hAnsi="Aptos" w:cs="Aptos"/>
                <w:sz w:val="24"/>
                <w:szCs w:val="24"/>
              </w:rPr>
            </w:pPr>
            <w:r>
              <w:rPr>
                <w:rFonts w:ascii="Aptos" w:eastAsia="Aptos" w:hAnsi="Aptos" w:cs="Aptos"/>
                <w:sz w:val="24"/>
                <w:szCs w:val="24"/>
              </w:rPr>
              <w:t>Can reflect critically and analytically on English as an academic lingua franca — examining the epistemological, disciplinary, and power implications of producing academic knowledge in English — and integrate this critical perspective explicitly into their research communication choices. (C2 – Critical Plurilingual Awareness)</w:t>
            </w:r>
          </w:p>
          <w:p w14:paraId="00000049" w14:textId="77777777" w:rsidR="00785DC0" w:rsidRDefault="00000000">
            <w:pPr>
              <w:numPr>
                <w:ilvl w:val="0"/>
                <w:numId w:val="10"/>
              </w:numPr>
              <w:jc w:val="both"/>
              <w:rPr>
                <w:rFonts w:ascii="Aptos" w:eastAsia="Aptos" w:hAnsi="Aptos" w:cs="Aptos"/>
                <w:sz w:val="24"/>
                <w:szCs w:val="24"/>
              </w:rPr>
            </w:pPr>
            <w:r>
              <w:rPr>
                <w:rFonts w:ascii="Aptos" w:eastAsia="Aptos" w:hAnsi="Aptos" w:cs="Aptos"/>
                <w:sz w:val="24"/>
                <w:szCs w:val="24"/>
              </w:rPr>
              <w:t xml:space="preserve">Can draw on scholarly conventions, argumentative traditions, or theoretical frameworks from non-Anglophone academic cultures in their own </w:t>
            </w:r>
            <w:proofErr w:type="gramStart"/>
            <w:r>
              <w:rPr>
                <w:rFonts w:ascii="Aptos" w:eastAsia="Aptos" w:hAnsi="Aptos" w:cs="Aptos"/>
                <w:sz w:val="24"/>
                <w:szCs w:val="24"/>
              </w:rPr>
              <w:t>field, and</w:t>
            </w:r>
            <w:proofErr w:type="gramEnd"/>
            <w:r>
              <w:rPr>
                <w:rFonts w:ascii="Aptos" w:eastAsia="Aptos" w:hAnsi="Aptos" w:cs="Aptos"/>
                <w:sz w:val="24"/>
                <w:szCs w:val="24"/>
              </w:rPr>
              <w:t xml:space="preserve"> mediate these into English-language academic writing in a way that is both intellectually enriching and rhetorically coherent. (C2 – Building on </w:t>
            </w:r>
            <w:proofErr w:type="spellStart"/>
            <w:r>
              <w:rPr>
                <w:rFonts w:ascii="Aptos" w:eastAsia="Aptos" w:hAnsi="Aptos" w:cs="Aptos"/>
                <w:sz w:val="24"/>
                <w:szCs w:val="24"/>
              </w:rPr>
              <w:t>Pluriacademic</w:t>
            </w:r>
            <w:proofErr w:type="spellEnd"/>
            <w:r>
              <w:rPr>
                <w:rFonts w:ascii="Aptos" w:eastAsia="Aptos" w:hAnsi="Aptos" w:cs="Aptos"/>
                <w:sz w:val="24"/>
                <w:szCs w:val="24"/>
              </w:rPr>
              <w:t xml:space="preserve"> Repertoire)</w:t>
            </w:r>
          </w:p>
          <w:p w14:paraId="0000004A" w14:textId="77777777" w:rsidR="00785DC0" w:rsidRDefault="00000000">
            <w:pPr>
              <w:numPr>
                <w:ilvl w:val="0"/>
                <w:numId w:val="10"/>
              </w:numPr>
              <w:jc w:val="both"/>
              <w:rPr>
                <w:rFonts w:ascii="Aptos" w:eastAsia="Aptos" w:hAnsi="Aptos" w:cs="Aptos"/>
                <w:sz w:val="24"/>
                <w:szCs w:val="24"/>
              </w:rPr>
            </w:pPr>
            <w:r>
              <w:rPr>
                <w:rFonts w:ascii="Aptos" w:eastAsia="Aptos" w:hAnsi="Aptos" w:cs="Aptos"/>
                <w:sz w:val="24"/>
                <w:szCs w:val="24"/>
              </w:rPr>
              <w:t>Can identify and articulate how the same research finding or argument would be framed differently across different national scholarly traditions, language communities, or disciplinary cultures. (C2 – Pluricultural Scholarly Awareness)</w:t>
            </w:r>
          </w:p>
          <w:p w14:paraId="0000004B" w14:textId="77777777" w:rsidR="00785DC0" w:rsidRDefault="00000000">
            <w:pPr>
              <w:numPr>
                <w:ilvl w:val="0"/>
                <w:numId w:val="10"/>
              </w:numPr>
              <w:jc w:val="both"/>
              <w:rPr>
                <w:rFonts w:ascii="Aptos" w:eastAsia="Aptos" w:hAnsi="Aptos" w:cs="Aptos"/>
                <w:sz w:val="24"/>
                <w:szCs w:val="24"/>
              </w:rPr>
            </w:pPr>
            <w:r>
              <w:rPr>
                <w:rFonts w:ascii="Aptos" w:eastAsia="Aptos" w:hAnsi="Aptos" w:cs="Aptos"/>
                <w:sz w:val="24"/>
                <w:szCs w:val="24"/>
              </w:rPr>
              <w:t>Can produce elements of their communication plan (e.g., a parallel abstract, a key concept gloss, or a positioning statement) in a language other than English where this adds substantive value for a target audience. (C2 – Plurilingual Mediation in Academic Contexts)</w:t>
            </w:r>
          </w:p>
        </w:tc>
      </w:tr>
    </w:tbl>
    <w:p w14:paraId="0000004C" w14:textId="77777777" w:rsidR="00785DC0" w:rsidRDefault="00785DC0">
      <w:pPr>
        <w:spacing w:after="0"/>
        <w:rPr>
          <w:rFonts w:ascii="Aptos" w:eastAsia="Aptos" w:hAnsi="Aptos" w:cs="Aptos"/>
          <w:b/>
          <w:bCs/>
          <w:color w:val="243673"/>
          <w:sz w:val="24"/>
          <w:szCs w:val="24"/>
        </w:rPr>
      </w:pPr>
    </w:p>
    <w:p w14:paraId="0000004D" w14:textId="77777777" w:rsidR="00785DC0" w:rsidRDefault="00000000">
      <w:pPr>
        <w:numPr>
          <w:ilvl w:val="0"/>
          <w:numId w:val="14"/>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 xml:space="preserve"> Strategies (reception, production, interaction, mediation strategies)</w:t>
      </w:r>
    </w:p>
    <w:tbl>
      <w:tblPr>
        <w:tblStyle w:val="ab"/>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785DC0" w14:paraId="170B3118" w14:textId="77777777">
        <w:tc>
          <w:tcPr>
            <w:tcW w:w="9202" w:type="dxa"/>
          </w:tcPr>
          <w:p w14:paraId="0000004E" w14:textId="77777777" w:rsidR="00785DC0" w:rsidRDefault="00000000">
            <w:pPr>
              <w:numPr>
                <w:ilvl w:val="0"/>
                <w:numId w:val="4"/>
              </w:numPr>
              <w:jc w:val="both"/>
              <w:rPr>
                <w:rFonts w:ascii="Aptos" w:eastAsia="Aptos" w:hAnsi="Aptos" w:cs="Aptos"/>
                <w:sz w:val="24"/>
                <w:szCs w:val="24"/>
              </w:rPr>
            </w:pPr>
            <w:r>
              <w:rPr>
                <w:rFonts w:ascii="Aptos" w:eastAsia="Aptos" w:hAnsi="Aptos" w:cs="Aptos"/>
                <w:b/>
                <w:bCs/>
                <w:sz w:val="24"/>
                <w:szCs w:val="24"/>
              </w:rPr>
              <w:t>Reception</w:t>
            </w:r>
            <w:r>
              <w:rPr>
                <w:rFonts w:ascii="Aptos" w:eastAsia="Aptos" w:hAnsi="Aptos" w:cs="Aptos"/>
                <w:sz w:val="24"/>
                <w:szCs w:val="24"/>
              </w:rPr>
              <w:t>: Is skilled at using contextual, grammatical and lexical cues to infer attitude, mood and intentions and anticipate what will come next in complex academic discourse. (C2 – Identifying Cues and Inferring)</w:t>
            </w:r>
          </w:p>
          <w:p w14:paraId="0000004F" w14:textId="77777777" w:rsidR="00785DC0" w:rsidRDefault="00000000">
            <w:pPr>
              <w:numPr>
                <w:ilvl w:val="0"/>
                <w:numId w:val="4"/>
              </w:numPr>
              <w:jc w:val="both"/>
              <w:rPr>
                <w:rFonts w:ascii="Aptos" w:eastAsia="Aptos" w:hAnsi="Aptos" w:cs="Aptos"/>
                <w:sz w:val="24"/>
                <w:szCs w:val="24"/>
              </w:rPr>
            </w:pPr>
            <w:r>
              <w:rPr>
                <w:rFonts w:ascii="Aptos" w:eastAsia="Aptos" w:hAnsi="Aptos" w:cs="Aptos"/>
                <w:b/>
                <w:bCs/>
                <w:sz w:val="24"/>
                <w:szCs w:val="24"/>
              </w:rPr>
              <w:t>Production – Planning</w:t>
            </w:r>
            <w:r>
              <w:rPr>
                <w:rFonts w:ascii="Aptos" w:eastAsia="Aptos" w:hAnsi="Aptos" w:cs="Aptos"/>
                <w:sz w:val="24"/>
                <w:szCs w:val="24"/>
              </w:rPr>
              <w:t xml:space="preserve">: Can, when preparing a more formal spoken or written text, consciously adopt the conventions linked to the </w:t>
            </w:r>
            <w:proofErr w:type="gramStart"/>
            <w:r>
              <w:rPr>
                <w:rFonts w:ascii="Aptos" w:eastAsia="Aptos" w:hAnsi="Aptos" w:cs="Aptos"/>
                <w:sz w:val="24"/>
                <w:szCs w:val="24"/>
              </w:rPr>
              <w:t>particular type of text</w:t>
            </w:r>
            <w:proofErr w:type="gramEnd"/>
            <w:r>
              <w:rPr>
                <w:rFonts w:ascii="Aptos" w:eastAsia="Aptos" w:hAnsi="Aptos" w:cs="Aptos"/>
                <w:sz w:val="24"/>
                <w:szCs w:val="24"/>
              </w:rPr>
              <w:t xml:space="preserve"> concerned (structure, level of formality and other conventions), including simultaneous preparation of three distinct genre outputs. (C2 – Planning)</w:t>
            </w:r>
          </w:p>
          <w:p w14:paraId="00000050" w14:textId="77777777" w:rsidR="00785DC0" w:rsidRDefault="00000000">
            <w:pPr>
              <w:numPr>
                <w:ilvl w:val="0"/>
                <w:numId w:val="4"/>
              </w:numPr>
              <w:jc w:val="both"/>
              <w:rPr>
                <w:rFonts w:ascii="Aptos" w:eastAsia="Aptos" w:hAnsi="Aptos" w:cs="Aptos"/>
                <w:sz w:val="24"/>
                <w:szCs w:val="24"/>
              </w:rPr>
            </w:pPr>
            <w:r>
              <w:rPr>
                <w:rFonts w:ascii="Aptos" w:eastAsia="Aptos" w:hAnsi="Aptos" w:cs="Aptos"/>
                <w:b/>
                <w:bCs/>
                <w:sz w:val="24"/>
                <w:szCs w:val="24"/>
              </w:rPr>
              <w:t>Production – Compensating</w:t>
            </w:r>
            <w:r>
              <w:rPr>
                <w:rFonts w:ascii="Aptos" w:eastAsia="Aptos" w:hAnsi="Aptos" w:cs="Aptos"/>
                <w:sz w:val="24"/>
                <w:szCs w:val="24"/>
              </w:rPr>
              <w:t xml:space="preserve">: Can substitute an equivalent term for a word he/she cannot recall so smoothly that it is scarcely noticeable; can exploit range </w:t>
            </w:r>
            <w:r>
              <w:rPr>
                <w:rFonts w:ascii="Aptos" w:eastAsia="Aptos" w:hAnsi="Aptos" w:cs="Aptos"/>
                <w:sz w:val="24"/>
                <w:szCs w:val="24"/>
              </w:rPr>
              <w:lastRenderedPageBreak/>
              <w:t xml:space="preserve">of vocabulary options creatively </w:t>
            </w:r>
            <w:proofErr w:type="gramStart"/>
            <w:r>
              <w:rPr>
                <w:rFonts w:ascii="Aptos" w:eastAsia="Aptos" w:hAnsi="Aptos" w:cs="Aptos"/>
                <w:sz w:val="24"/>
                <w:szCs w:val="24"/>
              </w:rPr>
              <w:t>so as to</w:t>
            </w:r>
            <w:proofErr w:type="gramEnd"/>
            <w:r>
              <w:rPr>
                <w:rFonts w:ascii="Aptos" w:eastAsia="Aptos" w:hAnsi="Aptos" w:cs="Aptos"/>
                <w:sz w:val="24"/>
                <w:szCs w:val="24"/>
              </w:rPr>
              <w:t xml:space="preserve"> readily and effectively use circumlocution in almost all situations. (C2 – Compensating)</w:t>
            </w:r>
          </w:p>
          <w:p w14:paraId="00000051" w14:textId="77777777" w:rsidR="00785DC0" w:rsidRDefault="00000000">
            <w:pPr>
              <w:numPr>
                <w:ilvl w:val="0"/>
                <w:numId w:val="4"/>
              </w:numPr>
              <w:jc w:val="both"/>
              <w:rPr>
                <w:rFonts w:ascii="Aptos" w:eastAsia="Aptos" w:hAnsi="Aptos" w:cs="Aptos"/>
                <w:sz w:val="24"/>
                <w:szCs w:val="24"/>
              </w:rPr>
            </w:pPr>
            <w:r>
              <w:rPr>
                <w:rFonts w:ascii="Aptos" w:eastAsia="Aptos" w:hAnsi="Aptos" w:cs="Aptos"/>
                <w:b/>
                <w:bCs/>
                <w:sz w:val="24"/>
                <w:szCs w:val="24"/>
              </w:rPr>
              <w:t>Interaction – Taking the floor</w:t>
            </w:r>
            <w:r>
              <w:rPr>
                <w:rFonts w:ascii="Aptos" w:eastAsia="Aptos" w:hAnsi="Aptos" w:cs="Aptos"/>
                <w:sz w:val="24"/>
                <w:szCs w:val="24"/>
              </w:rPr>
              <w:t xml:space="preserve">: Can select a suitable phrase from a readily available range of discourse functions to preface remarks appropriately </w:t>
            </w:r>
            <w:proofErr w:type="gramStart"/>
            <w:r>
              <w:rPr>
                <w:rFonts w:ascii="Aptos" w:eastAsia="Aptos" w:hAnsi="Aptos" w:cs="Aptos"/>
                <w:sz w:val="24"/>
                <w:szCs w:val="24"/>
              </w:rPr>
              <w:t>in order to</w:t>
            </w:r>
            <w:proofErr w:type="gramEnd"/>
            <w:r>
              <w:rPr>
                <w:rFonts w:ascii="Aptos" w:eastAsia="Aptos" w:hAnsi="Aptos" w:cs="Aptos"/>
                <w:sz w:val="24"/>
                <w:szCs w:val="24"/>
              </w:rPr>
              <w:t xml:space="preserve"> get the floor, or to gain time and keep the floor whilst thinking, in high-pressure academic Q&amp;A. (C2 – Taking the Floor)</w:t>
            </w:r>
          </w:p>
          <w:p w14:paraId="00000052" w14:textId="77777777" w:rsidR="00785DC0" w:rsidRDefault="00000000">
            <w:pPr>
              <w:numPr>
                <w:ilvl w:val="0"/>
                <w:numId w:val="4"/>
              </w:numPr>
              <w:jc w:val="both"/>
              <w:rPr>
                <w:rFonts w:ascii="Aptos" w:eastAsia="Aptos" w:hAnsi="Aptos" w:cs="Aptos"/>
                <w:sz w:val="24"/>
                <w:szCs w:val="24"/>
              </w:rPr>
            </w:pPr>
            <w:r>
              <w:rPr>
                <w:rFonts w:ascii="Aptos" w:eastAsia="Aptos" w:hAnsi="Aptos" w:cs="Aptos"/>
                <w:b/>
                <w:bCs/>
                <w:sz w:val="24"/>
                <w:szCs w:val="24"/>
              </w:rPr>
              <w:t>Interaction – Cooperating</w:t>
            </w:r>
            <w:r>
              <w:rPr>
                <w:rFonts w:ascii="Aptos" w:eastAsia="Aptos" w:hAnsi="Aptos" w:cs="Aptos"/>
                <w:sz w:val="24"/>
                <w:szCs w:val="24"/>
              </w:rPr>
              <w:t xml:space="preserve">: Can link contributions </w:t>
            </w:r>
            <w:proofErr w:type="spellStart"/>
            <w:r>
              <w:rPr>
                <w:rFonts w:ascii="Aptos" w:eastAsia="Aptos" w:hAnsi="Aptos" w:cs="Aptos"/>
                <w:sz w:val="24"/>
                <w:szCs w:val="24"/>
              </w:rPr>
              <w:t>skilfully</w:t>
            </w:r>
            <w:proofErr w:type="spellEnd"/>
            <w:r>
              <w:rPr>
                <w:rFonts w:ascii="Aptos" w:eastAsia="Aptos" w:hAnsi="Aptos" w:cs="Aptos"/>
                <w:sz w:val="24"/>
                <w:szCs w:val="24"/>
              </w:rPr>
              <w:t xml:space="preserve"> to those of other speakers, widen the scope of the interaction and help steer it towards an outcome during panel discussions and seminar exchanges. (C2 – Cooperating)</w:t>
            </w:r>
          </w:p>
          <w:p w14:paraId="00000053" w14:textId="77777777" w:rsidR="00785DC0" w:rsidRDefault="00000000">
            <w:pPr>
              <w:numPr>
                <w:ilvl w:val="0"/>
                <w:numId w:val="4"/>
              </w:numPr>
              <w:jc w:val="both"/>
              <w:rPr>
                <w:rFonts w:ascii="Aptos" w:eastAsia="Aptos" w:hAnsi="Aptos" w:cs="Aptos"/>
                <w:sz w:val="24"/>
                <w:szCs w:val="24"/>
              </w:rPr>
            </w:pPr>
            <w:r>
              <w:rPr>
                <w:rFonts w:ascii="Aptos" w:eastAsia="Aptos" w:hAnsi="Aptos" w:cs="Aptos"/>
                <w:b/>
                <w:bCs/>
                <w:sz w:val="24"/>
                <w:szCs w:val="24"/>
              </w:rPr>
              <w:t>Mediation – Adapting language</w:t>
            </w:r>
            <w:r>
              <w:rPr>
                <w:rFonts w:ascii="Aptos" w:eastAsia="Aptos" w:hAnsi="Aptos" w:cs="Aptos"/>
                <w:sz w:val="24"/>
                <w:szCs w:val="24"/>
              </w:rPr>
              <w:t xml:space="preserve">: Can adapt the language of a very wide range of texts </w:t>
            </w:r>
            <w:proofErr w:type="gramStart"/>
            <w:r>
              <w:rPr>
                <w:rFonts w:ascii="Aptos" w:eastAsia="Aptos" w:hAnsi="Aptos" w:cs="Aptos"/>
                <w:sz w:val="24"/>
                <w:szCs w:val="24"/>
              </w:rPr>
              <w:t>in order to</w:t>
            </w:r>
            <w:proofErr w:type="gramEnd"/>
            <w:r>
              <w:rPr>
                <w:rFonts w:ascii="Aptos" w:eastAsia="Aptos" w:hAnsi="Aptos" w:cs="Aptos"/>
                <w:sz w:val="24"/>
                <w:szCs w:val="24"/>
              </w:rPr>
              <w:t xml:space="preserve"> present the main content in a register and degree of sophistication and detail appropriate to the audience concerned, including rendering academic content into plain language. (C2 – Adapting Language)</w:t>
            </w:r>
          </w:p>
          <w:p w14:paraId="00000054" w14:textId="77777777" w:rsidR="00785DC0" w:rsidRDefault="00000000">
            <w:pPr>
              <w:numPr>
                <w:ilvl w:val="0"/>
                <w:numId w:val="4"/>
              </w:numPr>
              <w:jc w:val="both"/>
              <w:rPr>
                <w:rFonts w:ascii="Aptos" w:eastAsia="Aptos" w:hAnsi="Aptos" w:cs="Aptos"/>
                <w:sz w:val="24"/>
                <w:szCs w:val="24"/>
              </w:rPr>
            </w:pPr>
            <w:r>
              <w:rPr>
                <w:rFonts w:ascii="Aptos" w:eastAsia="Aptos" w:hAnsi="Aptos" w:cs="Aptos"/>
                <w:b/>
                <w:bCs/>
                <w:sz w:val="24"/>
                <w:szCs w:val="24"/>
              </w:rPr>
              <w:t>Mediation – Streamlining a text</w:t>
            </w:r>
            <w:r>
              <w:rPr>
                <w:rFonts w:ascii="Aptos" w:eastAsia="Aptos" w:hAnsi="Aptos" w:cs="Aptos"/>
                <w:sz w:val="24"/>
                <w:szCs w:val="24"/>
              </w:rPr>
              <w:t xml:space="preserve">: Can redraft a complex source text, </w:t>
            </w:r>
            <w:proofErr w:type="gramStart"/>
            <w:r>
              <w:rPr>
                <w:rFonts w:ascii="Aptos" w:eastAsia="Aptos" w:hAnsi="Aptos" w:cs="Aptos"/>
                <w:sz w:val="24"/>
                <w:szCs w:val="24"/>
              </w:rPr>
              <w:t>improving</w:t>
            </w:r>
            <w:proofErr w:type="gramEnd"/>
            <w:r>
              <w:rPr>
                <w:rFonts w:ascii="Aptos" w:eastAsia="Aptos" w:hAnsi="Aptos" w:cs="Aptos"/>
                <w:sz w:val="24"/>
                <w:szCs w:val="24"/>
              </w:rPr>
              <w:t xml:space="preserve"> coherence, cohesion and the flow of an argument, whilst removing sections unnecessary for its purpose — central to producing the policy brief from the academic paper. (C2 – Streamlining a Text)</w:t>
            </w:r>
          </w:p>
        </w:tc>
      </w:tr>
    </w:tbl>
    <w:p w14:paraId="00000055" w14:textId="77777777" w:rsidR="00785DC0" w:rsidRDefault="00785DC0">
      <w:pPr>
        <w:spacing w:after="0"/>
        <w:rPr>
          <w:rFonts w:ascii="Aptos" w:eastAsia="Aptos" w:hAnsi="Aptos" w:cs="Aptos"/>
          <w:b/>
          <w:bCs/>
          <w:color w:val="243673"/>
          <w:sz w:val="24"/>
          <w:szCs w:val="24"/>
        </w:rPr>
      </w:pPr>
    </w:p>
    <w:p w14:paraId="00000056" w14:textId="77777777" w:rsidR="00785DC0" w:rsidRDefault="00785DC0">
      <w:pPr>
        <w:spacing w:after="0"/>
        <w:ind w:left="426"/>
        <w:rPr>
          <w:rFonts w:ascii="Aptos" w:eastAsia="Aptos" w:hAnsi="Aptos" w:cs="Aptos"/>
          <w:b/>
          <w:bCs/>
          <w:color w:val="243673"/>
          <w:sz w:val="24"/>
          <w:szCs w:val="24"/>
        </w:rPr>
      </w:pPr>
    </w:p>
    <w:p w14:paraId="00000057" w14:textId="77777777" w:rsidR="00785DC0" w:rsidRDefault="00000000">
      <w:pPr>
        <w:numPr>
          <w:ilvl w:val="0"/>
          <w:numId w:val="14"/>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Prior knowledge required</w:t>
      </w:r>
    </w:p>
    <w:tbl>
      <w:tblPr>
        <w:tblStyle w:val="ac"/>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785DC0" w14:paraId="23672170" w14:textId="77777777">
        <w:tc>
          <w:tcPr>
            <w:tcW w:w="9202" w:type="dxa"/>
          </w:tcPr>
          <w:p w14:paraId="00000058" w14:textId="77777777" w:rsidR="00785DC0" w:rsidRDefault="00000000">
            <w:pPr>
              <w:numPr>
                <w:ilvl w:val="0"/>
                <w:numId w:val="8"/>
              </w:numPr>
              <w:jc w:val="both"/>
              <w:rPr>
                <w:rFonts w:ascii="Aptos" w:eastAsia="Aptos" w:hAnsi="Aptos" w:cs="Aptos"/>
                <w:sz w:val="24"/>
                <w:szCs w:val="24"/>
              </w:rPr>
            </w:pPr>
            <w:r>
              <w:rPr>
                <w:rFonts w:ascii="Aptos" w:eastAsia="Aptos" w:hAnsi="Aptos" w:cs="Aptos"/>
                <w:sz w:val="24"/>
                <w:szCs w:val="24"/>
              </w:rPr>
              <w:t>Advanced academic writing competence in English at C1–C2 level, including command of argumentation, citation integration, and genre-appropriate register</w:t>
            </w:r>
          </w:p>
          <w:p w14:paraId="00000059" w14:textId="77777777" w:rsidR="00785DC0" w:rsidRDefault="00000000">
            <w:pPr>
              <w:numPr>
                <w:ilvl w:val="0"/>
                <w:numId w:val="8"/>
              </w:numPr>
              <w:jc w:val="both"/>
              <w:rPr>
                <w:rFonts w:ascii="Aptos" w:eastAsia="Aptos" w:hAnsi="Aptos" w:cs="Aptos"/>
                <w:sz w:val="24"/>
                <w:szCs w:val="24"/>
              </w:rPr>
            </w:pPr>
            <w:r>
              <w:rPr>
                <w:rFonts w:ascii="Aptos" w:eastAsia="Aptos" w:hAnsi="Aptos" w:cs="Aptos"/>
                <w:sz w:val="24"/>
                <w:szCs w:val="24"/>
              </w:rPr>
              <w:t>Substantial disciplinary knowledge in their field, including familiarity with the key theoretical debates, methodological approaches, and publication norms</w:t>
            </w:r>
          </w:p>
          <w:p w14:paraId="0000005A" w14:textId="77777777" w:rsidR="00785DC0" w:rsidRDefault="00000000">
            <w:pPr>
              <w:numPr>
                <w:ilvl w:val="0"/>
                <w:numId w:val="8"/>
              </w:numPr>
              <w:jc w:val="both"/>
              <w:rPr>
                <w:rFonts w:ascii="Aptos" w:eastAsia="Aptos" w:hAnsi="Aptos" w:cs="Aptos"/>
                <w:sz w:val="24"/>
                <w:szCs w:val="24"/>
              </w:rPr>
            </w:pPr>
            <w:r>
              <w:rPr>
                <w:rFonts w:ascii="Aptos" w:eastAsia="Aptos" w:hAnsi="Aptos" w:cs="Aptos"/>
                <w:sz w:val="24"/>
                <w:szCs w:val="24"/>
              </w:rPr>
              <w:t>Experience reading and critically evaluating primary academic literature in their discipline</w:t>
            </w:r>
          </w:p>
          <w:p w14:paraId="0000005B" w14:textId="77777777" w:rsidR="00785DC0" w:rsidRDefault="00000000">
            <w:pPr>
              <w:numPr>
                <w:ilvl w:val="0"/>
                <w:numId w:val="8"/>
              </w:numPr>
              <w:jc w:val="both"/>
              <w:rPr>
                <w:rFonts w:ascii="Aptos" w:eastAsia="Aptos" w:hAnsi="Aptos" w:cs="Aptos"/>
                <w:sz w:val="24"/>
                <w:szCs w:val="24"/>
              </w:rPr>
            </w:pPr>
            <w:r>
              <w:rPr>
                <w:rFonts w:ascii="Aptos" w:eastAsia="Aptos" w:hAnsi="Aptos" w:cs="Aptos"/>
                <w:sz w:val="24"/>
                <w:szCs w:val="24"/>
              </w:rPr>
              <w:t>Some prior exposure to oral academic presentation, including awareness of structural conventions (abstract, methods, findings, implications)</w:t>
            </w:r>
          </w:p>
          <w:p w14:paraId="0000005C" w14:textId="77777777" w:rsidR="00785DC0" w:rsidRDefault="00000000">
            <w:pPr>
              <w:numPr>
                <w:ilvl w:val="0"/>
                <w:numId w:val="8"/>
              </w:numPr>
              <w:jc w:val="both"/>
              <w:rPr>
                <w:rFonts w:ascii="Aptos" w:eastAsia="Aptos" w:hAnsi="Aptos" w:cs="Aptos"/>
                <w:sz w:val="24"/>
                <w:szCs w:val="24"/>
              </w:rPr>
            </w:pPr>
            <w:r>
              <w:rPr>
                <w:rFonts w:ascii="Aptos" w:eastAsia="Aptos" w:hAnsi="Aptos" w:cs="Aptos"/>
                <w:sz w:val="24"/>
                <w:szCs w:val="24"/>
              </w:rPr>
              <w:t>Awareness of basic corpus and genre analysis tools (e.g., using concordances or style guides to investigate disciplinary writing norms)</w:t>
            </w:r>
          </w:p>
          <w:p w14:paraId="0000005D" w14:textId="77777777" w:rsidR="00785DC0" w:rsidRDefault="00000000">
            <w:pPr>
              <w:numPr>
                <w:ilvl w:val="0"/>
                <w:numId w:val="8"/>
              </w:numPr>
              <w:jc w:val="both"/>
              <w:rPr>
                <w:rFonts w:ascii="Aptos" w:eastAsia="Aptos" w:hAnsi="Aptos" w:cs="Aptos"/>
                <w:sz w:val="24"/>
                <w:szCs w:val="24"/>
              </w:rPr>
            </w:pPr>
            <w:r>
              <w:rPr>
                <w:rFonts w:ascii="Aptos" w:eastAsia="Aptos" w:hAnsi="Aptos" w:cs="Aptos"/>
                <w:sz w:val="24"/>
                <w:szCs w:val="24"/>
              </w:rPr>
              <w:t>Familiarity with academic integrity requirements, including citation conventions and paraphrasing expectations</w:t>
            </w:r>
          </w:p>
          <w:p w14:paraId="0000005E" w14:textId="77777777" w:rsidR="00785DC0" w:rsidRDefault="00000000">
            <w:pPr>
              <w:numPr>
                <w:ilvl w:val="0"/>
                <w:numId w:val="8"/>
              </w:numPr>
              <w:jc w:val="both"/>
              <w:rPr>
                <w:rFonts w:ascii="Aptos" w:eastAsia="Aptos" w:hAnsi="Aptos" w:cs="Aptos"/>
                <w:sz w:val="24"/>
                <w:szCs w:val="24"/>
              </w:rPr>
            </w:pPr>
            <w:r>
              <w:rPr>
                <w:rFonts w:ascii="Aptos" w:eastAsia="Aptos" w:hAnsi="Aptos" w:cs="Aptos"/>
                <w:sz w:val="24"/>
                <w:szCs w:val="24"/>
              </w:rPr>
              <w:t>Willingness to reflect critically on their own linguistic and cultural positioning as a multilingual academic writer</w:t>
            </w:r>
          </w:p>
        </w:tc>
      </w:tr>
    </w:tbl>
    <w:p w14:paraId="0000005F" w14:textId="77777777" w:rsidR="00785DC0" w:rsidRDefault="00785DC0">
      <w:pPr>
        <w:spacing w:after="0"/>
        <w:rPr>
          <w:rFonts w:ascii="Aptos" w:eastAsia="Aptos" w:hAnsi="Aptos" w:cs="Aptos"/>
          <w:b/>
          <w:bCs/>
          <w:color w:val="243673"/>
          <w:sz w:val="24"/>
          <w:szCs w:val="24"/>
        </w:rPr>
      </w:pPr>
    </w:p>
    <w:p w14:paraId="00000060" w14:textId="77777777" w:rsidR="00785DC0" w:rsidRDefault="00000000">
      <w:pPr>
        <w:numPr>
          <w:ilvl w:val="0"/>
          <w:numId w:val="14"/>
        </w:numPr>
        <w:pBdr>
          <w:top w:val="nil"/>
          <w:left w:val="nil"/>
          <w:bottom w:val="nil"/>
          <w:right w:val="nil"/>
          <w:between w:val="nil"/>
        </w:pBdr>
        <w:spacing w:after="0"/>
        <w:ind w:left="426" w:right="-285"/>
        <w:rPr>
          <w:rFonts w:ascii="Aptos" w:eastAsia="Aptos" w:hAnsi="Aptos" w:cs="Aptos"/>
          <w:b/>
          <w:bCs/>
          <w:color w:val="000000"/>
          <w:sz w:val="24"/>
          <w:szCs w:val="24"/>
        </w:rPr>
      </w:pPr>
      <w:bookmarkStart w:id="0" w:name="_heading=h.rmcb2adby4y8" w:colFirst="0" w:colLast="0"/>
      <w:bookmarkEnd w:id="0"/>
      <w:r>
        <w:rPr>
          <w:rFonts w:ascii="Aptos" w:eastAsia="Aptos" w:hAnsi="Aptos" w:cs="Aptos"/>
          <w:b/>
          <w:bCs/>
          <w:color w:val="000000"/>
          <w:sz w:val="24"/>
          <w:szCs w:val="24"/>
        </w:rPr>
        <w:t>Time for scenario completion (steps and culminating task)</w:t>
      </w:r>
    </w:p>
    <w:p w14:paraId="00000061" w14:textId="77777777" w:rsidR="00785DC0" w:rsidRDefault="00785DC0">
      <w:pPr>
        <w:spacing w:after="0" w:line="240" w:lineRule="auto"/>
        <w:ind w:left="66"/>
        <w:rPr>
          <w:rFonts w:ascii="Aptos" w:eastAsia="Aptos" w:hAnsi="Aptos" w:cs="Aptos"/>
          <w:color w:val="243673"/>
          <w:sz w:val="20"/>
          <w:szCs w:val="20"/>
        </w:rPr>
      </w:pPr>
    </w:p>
    <w:p w14:paraId="00000062" w14:textId="77777777" w:rsidR="00785DC0" w:rsidRDefault="00000000">
      <w:pPr>
        <w:spacing w:after="0" w:line="240" w:lineRule="auto"/>
        <w:ind w:left="426"/>
        <w:rPr>
          <w:rFonts w:ascii="Aptos" w:eastAsia="Aptos" w:hAnsi="Aptos" w:cs="Aptos"/>
          <w:b/>
          <w:bCs/>
          <w:color w:val="000000"/>
          <w:sz w:val="24"/>
          <w:szCs w:val="24"/>
        </w:rPr>
      </w:pPr>
      <w:r>
        <w:rPr>
          <w:rFonts w:ascii="Aptos" w:eastAsia="Aptos" w:hAnsi="Aptos" w:cs="Aptos"/>
          <w:b/>
          <w:bCs/>
          <w:color w:val="000000"/>
          <w:sz w:val="24"/>
          <w:szCs w:val="24"/>
        </w:rPr>
        <w:t>Scenario Steps</w:t>
      </w:r>
    </w:p>
    <w:p w14:paraId="00000063" w14:textId="77777777" w:rsidR="00785DC0" w:rsidRDefault="00785DC0">
      <w:pPr>
        <w:spacing w:after="0" w:line="240" w:lineRule="auto"/>
        <w:ind w:left="426"/>
        <w:rPr>
          <w:rFonts w:ascii="Aptos" w:eastAsia="Aptos" w:hAnsi="Aptos" w:cs="Aptos"/>
          <w:color w:val="243673"/>
          <w:sz w:val="24"/>
          <w:szCs w:val="24"/>
        </w:rPr>
      </w:pPr>
    </w:p>
    <w:tbl>
      <w:tblPr>
        <w:tblStyle w:val="ad"/>
        <w:tblW w:w="919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5"/>
        <w:gridCol w:w="5820"/>
        <w:gridCol w:w="1650"/>
      </w:tblGrid>
      <w:tr w:rsidR="00785DC0" w14:paraId="467A969C" w14:textId="77777777">
        <w:tc>
          <w:tcPr>
            <w:tcW w:w="1725" w:type="dxa"/>
            <w:shd w:val="clear" w:color="auto" w:fill="243673"/>
          </w:tcPr>
          <w:p w14:paraId="00000064" w14:textId="77777777" w:rsidR="00785DC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1</w:t>
            </w:r>
          </w:p>
        </w:tc>
        <w:tc>
          <w:tcPr>
            <w:tcW w:w="5820" w:type="dxa"/>
          </w:tcPr>
          <w:p w14:paraId="00000065"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Orientation &amp; Genre Analysis: </w:t>
            </w:r>
            <w:proofErr w:type="spellStart"/>
            <w:r>
              <w:rPr>
                <w:rFonts w:ascii="Aptos" w:eastAsia="Aptos" w:hAnsi="Aptos" w:cs="Aptos"/>
                <w:color w:val="243673"/>
                <w:sz w:val="24"/>
                <w:szCs w:val="24"/>
              </w:rPr>
              <w:t>Analyse</w:t>
            </w:r>
            <w:proofErr w:type="spellEnd"/>
            <w:r>
              <w:rPr>
                <w:rFonts w:ascii="Aptos" w:eastAsia="Aptos" w:hAnsi="Aptos" w:cs="Aptos"/>
                <w:color w:val="243673"/>
                <w:sz w:val="24"/>
                <w:szCs w:val="24"/>
              </w:rPr>
              <w:t xml:space="preserve"> authentic conference papers, 3MT presentations, and policy briefs from students’ own discipline; map rhetorical structures; engage in critical discussion of disciplinary norms.</w:t>
            </w:r>
          </w:p>
        </w:tc>
        <w:tc>
          <w:tcPr>
            <w:tcW w:w="1650" w:type="dxa"/>
          </w:tcPr>
          <w:p w14:paraId="00000066"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3 </w:t>
            </w:r>
            <w:proofErr w:type="spellStart"/>
            <w:r>
              <w:rPr>
                <w:rFonts w:ascii="Aptos" w:eastAsia="Aptos" w:hAnsi="Aptos" w:cs="Aptos"/>
                <w:color w:val="243673"/>
                <w:sz w:val="24"/>
                <w:szCs w:val="24"/>
              </w:rPr>
              <w:t>hrs</w:t>
            </w:r>
            <w:proofErr w:type="spellEnd"/>
          </w:p>
        </w:tc>
      </w:tr>
      <w:tr w:rsidR="00785DC0" w14:paraId="67F0BF1A" w14:textId="77777777">
        <w:tc>
          <w:tcPr>
            <w:tcW w:w="1725" w:type="dxa"/>
            <w:shd w:val="clear" w:color="auto" w:fill="243673"/>
          </w:tcPr>
          <w:p w14:paraId="00000067" w14:textId="77777777" w:rsidR="00785DC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2</w:t>
            </w:r>
          </w:p>
        </w:tc>
        <w:tc>
          <w:tcPr>
            <w:tcW w:w="5820" w:type="dxa"/>
          </w:tcPr>
          <w:p w14:paraId="00000068"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Academic Paper Workshop: Students share draft research paper section; structured peer review using discipline-specific criteria; instructor-led discussion of argumentation and scholarly voice.</w:t>
            </w:r>
          </w:p>
        </w:tc>
        <w:tc>
          <w:tcPr>
            <w:tcW w:w="1650" w:type="dxa"/>
          </w:tcPr>
          <w:p w14:paraId="00000069"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3 </w:t>
            </w:r>
            <w:proofErr w:type="spellStart"/>
            <w:r>
              <w:rPr>
                <w:rFonts w:ascii="Aptos" w:eastAsia="Aptos" w:hAnsi="Aptos" w:cs="Aptos"/>
                <w:color w:val="243673"/>
                <w:sz w:val="24"/>
                <w:szCs w:val="24"/>
              </w:rPr>
              <w:t>hrs</w:t>
            </w:r>
            <w:proofErr w:type="spellEnd"/>
          </w:p>
        </w:tc>
      </w:tr>
      <w:tr w:rsidR="00785DC0" w14:paraId="19E03FE2" w14:textId="77777777">
        <w:tc>
          <w:tcPr>
            <w:tcW w:w="1725" w:type="dxa"/>
            <w:shd w:val="clear" w:color="auto" w:fill="243673"/>
          </w:tcPr>
          <w:p w14:paraId="0000006A" w14:textId="77777777" w:rsidR="00785DC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lastRenderedPageBreak/>
              <w:t>Independent Work I</w:t>
            </w:r>
          </w:p>
        </w:tc>
        <w:tc>
          <w:tcPr>
            <w:tcW w:w="5820" w:type="dxa"/>
          </w:tcPr>
          <w:p w14:paraId="0000006B"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Students revise academic paper draft; prepare annotated outline for plain-language summary; conduct genre analysis of policy briefs or public research articles in their field.</w:t>
            </w:r>
          </w:p>
        </w:tc>
        <w:tc>
          <w:tcPr>
            <w:tcW w:w="1650" w:type="dxa"/>
          </w:tcPr>
          <w:p w14:paraId="0000006C"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~6 </w:t>
            </w:r>
            <w:proofErr w:type="spellStart"/>
            <w:r>
              <w:rPr>
                <w:rFonts w:ascii="Aptos" w:eastAsia="Aptos" w:hAnsi="Aptos" w:cs="Aptos"/>
                <w:color w:val="243673"/>
                <w:sz w:val="24"/>
                <w:szCs w:val="24"/>
              </w:rPr>
              <w:t>hrs</w:t>
            </w:r>
            <w:proofErr w:type="spellEnd"/>
          </w:p>
        </w:tc>
      </w:tr>
      <w:tr w:rsidR="00785DC0" w14:paraId="4AFF891B" w14:textId="77777777">
        <w:tc>
          <w:tcPr>
            <w:tcW w:w="1725" w:type="dxa"/>
            <w:shd w:val="clear" w:color="auto" w:fill="243673"/>
          </w:tcPr>
          <w:p w14:paraId="0000006D" w14:textId="77777777" w:rsidR="00785DC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3</w:t>
            </w:r>
          </w:p>
        </w:tc>
        <w:tc>
          <w:tcPr>
            <w:tcW w:w="5820" w:type="dxa"/>
          </w:tcPr>
          <w:p w14:paraId="0000006E"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Plain-Language Writing Workshop: Draft policy brief / public article; workshop on recontextualization strategies; peer feedback on accessibility, accuracy, and rhetorical impact; discussion of plurilingual design choices.</w:t>
            </w:r>
          </w:p>
        </w:tc>
        <w:tc>
          <w:tcPr>
            <w:tcW w:w="1650" w:type="dxa"/>
          </w:tcPr>
          <w:p w14:paraId="0000006F"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3 </w:t>
            </w:r>
            <w:proofErr w:type="spellStart"/>
            <w:r>
              <w:rPr>
                <w:rFonts w:ascii="Aptos" w:eastAsia="Aptos" w:hAnsi="Aptos" w:cs="Aptos"/>
                <w:color w:val="243673"/>
                <w:sz w:val="24"/>
                <w:szCs w:val="24"/>
              </w:rPr>
              <w:t>hrs</w:t>
            </w:r>
            <w:proofErr w:type="spellEnd"/>
          </w:p>
        </w:tc>
      </w:tr>
      <w:tr w:rsidR="00785DC0" w14:paraId="483BC001" w14:textId="77777777">
        <w:tc>
          <w:tcPr>
            <w:tcW w:w="1725" w:type="dxa"/>
            <w:shd w:val="clear" w:color="auto" w:fill="243673"/>
          </w:tcPr>
          <w:p w14:paraId="00000070" w14:textId="77777777" w:rsidR="00785DC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4</w:t>
            </w:r>
          </w:p>
        </w:tc>
        <w:tc>
          <w:tcPr>
            <w:tcW w:w="5820" w:type="dxa"/>
          </w:tcPr>
          <w:p w14:paraId="00000071"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Oral Presentation Lab: Practice 3MT-style presentations in small groups; video playback and reflective critique; work on timing, visual aids, and cross-disciplinary accessibility; Q&amp;A simulation.</w:t>
            </w:r>
          </w:p>
        </w:tc>
        <w:tc>
          <w:tcPr>
            <w:tcW w:w="1650" w:type="dxa"/>
          </w:tcPr>
          <w:p w14:paraId="00000072"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3 </w:t>
            </w:r>
            <w:proofErr w:type="spellStart"/>
            <w:r>
              <w:rPr>
                <w:rFonts w:ascii="Aptos" w:eastAsia="Aptos" w:hAnsi="Aptos" w:cs="Aptos"/>
                <w:color w:val="243673"/>
                <w:sz w:val="24"/>
                <w:szCs w:val="24"/>
              </w:rPr>
              <w:t>hrs</w:t>
            </w:r>
            <w:proofErr w:type="spellEnd"/>
          </w:p>
        </w:tc>
      </w:tr>
      <w:tr w:rsidR="00785DC0" w14:paraId="3741AF1F" w14:textId="77777777">
        <w:tc>
          <w:tcPr>
            <w:tcW w:w="1725" w:type="dxa"/>
            <w:shd w:val="clear" w:color="auto" w:fill="243673"/>
          </w:tcPr>
          <w:p w14:paraId="00000073" w14:textId="77777777" w:rsidR="00785DC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Independent Work II</w:t>
            </w:r>
          </w:p>
        </w:tc>
        <w:tc>
          <w:tcPr>
            <w:tcW w:w="5820" w:type="dxa"/>
          </w:tcPr>
          <w:p w14:paraId="00000074"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Final revision of all three outputs; rehearsal; preparation of conference abstract and presentation materials; write critical reflective commentary.</w:t>
            </w:r>
          </w:p>
        </w:tc>
        <w:tc>
          <w:tcPr>
            <w:tcW w:w="1650" w:type="dxa"/>
          </w:tcPr>
          <w:p w14:paraId="00000075"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~6 </w:t>
            </w:r>
            <w:proofErr w:type="spellStart"/>
            <w:r>
              <w:rPr>
                <w:rFonts w:ascii="Aptos" w:eastAsia="Aptos" w:hAnsi="Aptos" w:cs="Aptos"/>
                <w:color w:val="243673"/>
                <w:sz w:val="24"/>
                <w:szCs w:val="24"/>
              </w:rPr>
              <w:t>hrs</w:t>
            </w:r>
            <w:proofErr w:type="spellEnd"/>
          </w:p>
        </w:tc>
      </w:tr>
    </w:tbl>
    <w:p w14:paraId="00000076" w14:textId="77777777" w:rsidR="00785DC0" w:rsidRDefault="00785DC0">
      <w:pPr>
        <w:widowControl w:val="0"/>
        <w:ind w:left="426"/>
        <w:rPr>
          <w:rFonts w:ascii="Aptos" w:eastAsia="Aptos" w:hAnsi="Aptos" w:cs="Aptos"/>
          <w:color w:val="243673"/>
          <w:sz w:val="24"/>
          <w:szCs w:val="24"/>
        </w:rPr>
      </w:pPr>
    </w:p>
    <w:p w14:paraId="00000077" w14:textId="77777777" w:rsidR="00785DC0" w:rsidRDefault="00000000">
      <w:pPr>
        <w:widowControl w:val="0"/>
        <w:ind w:left="426"/>
        <w:rPr>
          <w:rFonts w:ascii="Aptos" w:eastAsia="Aptos" w:hAnsi="Aptos" w:cs="Aptos"/>
          <w:b/>
          <w:bCs/>
          <w:color w:val="000000"/>
          <w:sz w:val="24"/>
          <w:szCs w:val="24"/>
        </w:rPr>
      </w:pPr>
      <w:r>
        <w:rPr>
          <w:rFonts w:ascii="Aptos" w:eastAsia="Aptos" w:hAnsi="Aptos" w:cs="Aptos"/>
          <w:b/>
          <w:bCs/>
          <w:color w:val="000000"/>
          <w:sz w:val="24"/>
          <w:szCs w:val="24"/>
        </w:rPr>
        <w:t xml:space="preserve">Culminating Task </w:t>
      </w:r>
    </w:p>
    <w:tbl>
      <w:tblPr>
        <w:tblStyle w:val="ae"/>
        <w:tblW w:w="879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5"/>
        <w:gridCol w:w="5520"/>
        <w:gridCol w:w="1605"/>
      </w:tblGrid>
      <w:tr w:rsidR="00785DC0" w14:paraId="6DE7FA0C" w14:textId="77777777">
        <w:tc>
          <w:tcPr>
            <w:tcW w:w="1665" w:type="dxa"/>
            <w:shd w:val="clear" w:color="auto" w:fill="243673"/>
          </w:tcPr>
          <w:p w14:paraId="00000078" w14:textId="77777777" w:rsidR="00785DC0"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Culminating Task</w:t>
            </w:r>
          </w:p>
        </w:tc>
        <w:tc>
          <w:tcPr>
            <w:tcW w:w="5520" w:type="dxa"/>
          </w:tcPr>
          <w:p w14:paraId="00000079"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Voices of the Field — Simulated Academic Conference and Public Engagement Event: conference paper presentations with Q&amp;A (expert panel), 3MT competition round, public engagement poster/brief display, and plenary reflective discussion.</w:t>
            </w:r>
          </w:p>
        </w:tc>
        <w:tc>
          <w:tcPr>
            <w:tcW w:w="1605" w:type="dxa"/>
          </w:tcPr>
          <w:p w14:paraId="0000007A" w14:textId="77777777" w:rsidR="00785DC0"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1 full day (~6 </w:t>
            </w:r>
            <w:proofErr w:type="spellStart"/>
            <w:r>
              <w:rPr>
                <w:rFonts w:ascii="Aptos" w:eastAsia="Aptos" w:hAnsi="Aptos" w:cs="Aptos"/>
                <w:color w:val="243673"/>
                <w:sz w:val="24"/>
                <w:szCs w:val="24"/>
              </w:rPr>
              <w:t>hrs</w:t>
            </w:r>
            <w:proofErr w:type="spellEnd"/>
            <w:r>
              <w:rPr>
                <w:rFonts w:ascii="Aptos" w:eastAsia="Aptos" w:hAnsi="Aptos" w:cs="Aptos"/>
                <w:color w:val="243673"/>
                <w:sz w:val="24"/>
                <w:szCs w:val="24"/>
              </w:rPr>
              <w:t>)</w:t>
            </w:r>
          </w:p>
        </w:tc>
      </w:tr>
    </w:tbl>
    <w:p w14:paraId="0000007B" w14:textId="77777777" w:rsidR="00785DC0" w:rsidRDefault="00785DC0">
      <w:pPr>
        <w:widowControl w:val="0"/>
        <w:ind w:left="426"/>
        <w:rPr>
          <w:rFonts w:ascii="Aptos" w:eastAsia="Aptos" w:hAnsi="Aptos" w:cs="Aptos"/>
          <w:color w:val="243673"/>
          <w:sz w:val="24"/>
          <w:szCs w:val="24"/>
        </w:rPr>
      </w:pPr>
    </w:p>
    <w:p w14:paraId="0000007C" w14:textId="77777777" w:rsidR="00785DC0" w:rsidRDefault="00000000">
      <w:pPr>
        <w:widowControl w:val="0"/>
        <w:ind w:left="426"/>
        <w:rPr>
          <w:rFonts w:ascii="Aptos" w:eastAsia="Aptos" w:hAnsi="Aptos" w:cs="Aptos"/>
          <w:b/>
          <w:bCs/>
          <w:color w:val="000000"/>
          <w:sz w:val="24"/>
          <w:szCs w:val="24"/>
        </w:rPr>
      </w:pPr>
      <w:r>
        <w:rPr>
          <w:rFonts w:ascii="Aptos" w:eastAsia="Aptos" w:hAnsi="Aptos" w:cs="Aptos"/>
          <w:b/>
          <w:bCs/>
          <w:color w:val="000000"/>
          <w:sz w:val="24"/>
          <w:szCs w:val="24"/>
        </w:rPr>
        <w:t xml:space="preserve">Total time </w:t>
      </w:r>
    </w:p>
    <w:tbl>
      <w:tblPr>
        <w:tblStyle w:val="af"/>
        <w:tblW w:w="127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5"/>
      </w:tblGrid>
      <w:tr w:rsidR="00785DC0" w14:paraId="77708AA1" w14:textId="77777777">
        <w:tc>
          <w:tcPr>
            <w:tcW w:w="1275" w:type="dxa"/>
          </w:tcPr>
          <w:p w14:paraId="0000007D" w14:textId="77777777" w:rsidR="00785DC0" w:rsidRDefault="00000000">
            <w:pPr>
              <w:widowControl w:val="0"/>
              <w:rPr>
                <w:rFonts w:ascii="Aptos" w:eastAsia="Aptos" w:hAnsi="Aptos" w:cs="Aptos"/>
                <w:b/>
                <w:bCs/>
                <w:color w:val="243673"/>
                <w:sz w:val="24"/>
                <w:szCs w:val="24"/>
              </w:rPr>
            </w:pPr>
            <w:r>
              <w:rPr>
                <w:rFonts w:ascii="Aptos" w:eastAsia="Aptos" w:hAnsi="Aptos" w:cs="Aptos"/>
                <w:i/>
                <w:iCs/>
                <w:color w:val="243673"/>
                <w:sz w:val="24"/>
                <w:szCs w:val="24"/>
              </w:rPr>
              <w:t xml:space="preserve">~30 </w:t>
            </w:r>
            <w:proofErr w:type="spellStart"/>
            <w:r>
              <w:rPr>
                <w:rFonts w:ascii="Aptos" w:eastAsia="Aptos" w:hAnsi="Aptos" w:cs="Aptos"/>
                <w:i/>
                <w:iCs/>
                <w:color w:val="243673"/>
                <w:sz w:val="24"/>
                <w:szCs w:val="24"/>
              </w:rPr>
              <w:t>hrs</w:t>
            </w:r>
            <w:proofErr w:type="spellEnd"/>
            <w:r>
              <w:rPr>
                <w:rFonts w:ascii="Aptos" w:eastAsia="Aptos" w:hAnsi="Aptos" w:cs="Aptos"/>
                <w:i/>
                <w:iCs/>
                <w:color w:val="243673"/>
                <w:sz w:val="24"/>
                <w:szCs w:val="24"/>
              </w:rPr>
              <w:t xml:space="preserve"> total</w:t>
            </w:r>
          </w:p>
          <w:p w14:paraId="0000007E" w14:textId="77777777" w:rsidR="00785DC0" w:rsidRDefault="00785DC0">
            <w:pPr>
              <w:widowControl w:val="0"/>
              <w:ind w:left="426"/>
              <w:rPr>
                <w:rFonts w:ascii="Aptos" w:eastAsia="Aptos" w:hAnsi="Aptos" w:cs="Aptos"/>
                <w:b/>
                <w:bCs/>
                <w:color w:val="243673"/>
                <w:sz w:val="24"/>
                <w:szCs w:val="24"/>
              </w:rPr>
            </w:pPr>
          </w:p>
        </w:tc>
      </w:tr>
    </w:tbl>
    <w:p w14:paraId="0000007F" w14:textId="77777777" w:rsidR="00785DC0" w:rsidRDefault="00785DC0">
      <w:pPr>
        <w:widowControl w:val="0"/>
        <w:ind w:left="142"/>
        <w:rPr>
          <w:rFonts w:ascii="Aptos" w:eastAsia="Aptos" w:hAnsi="Aptos" w:cs="Aptos"/>
          <w:b/>
          <w:bCs/>
          <w:color w:val="243673"/>
          <w:sz w:val="24"/>
          <w:szCs w:val="24"/>
        </w:rPr>
      </w:pPr>
    </w:p>
    <w:p w14:paraId="00000080" w14:textId="77777777" w:rsidR="00785DC0" w:rsidRDefault="00000000">
      <w:pPr>
        <w:spacing w:after="0"/>
        <w:ind w:left="142"/>
        <w:rPr>
          <w:rFonts w:ascii="Aptos" w:eastAsia="Aptos" w:hAnsi="Aptos" w:cs="Aptos"/>
          <w:b/>
          <w:bCs/>
          <w:color w:val="000000"/>
          <w:sz w:val="24"/>
          <w:szCs w:val="24"/>
        </w:rPr>
      </w:pPr>
      <w:r>
        <w:rPr>
          <w:rFonts w:ascii="Aptos" w:eastAsia="Aptos" w:hAnsi="Aptos" w:cs="Aptos"/>
          <w:b/>
          <w:bCs/>
          <w:color w:val="000000"/>
          <w:sz w:val="24"/>
          <w:szCs w:val="24"/>
        </w:rPr>
        <w:t>13. Resources</w:t>
      </w:r>
    </w:p>
    <w:tbl>
      <w:tblPr>
        <w:tblStyle w:val="af0"/>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785DC0" w14:paraId="33832E76" w14:textId="77777777">
        <w:tc>
          <w:tcPr>
            <w:tcW w:w="9202" w:type="dxa"/>
          </w:tcPr>
          <w:p w14:paraId="00000081"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Institutional access to academic databases: Web of Science, Scopus, JSTOR, discipline-specific repositories</w:t>
            </w:r>
          </w:p>
          <w:p w14:paraId="00000082"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Authentic materials: published conference papers, policy briefs, and 3MT recordings from students’ own disciplines</w:t>
            </w:r>
          </w:p>
          <w:p w14:paraId="00000083"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Genre analysis toolkit: discipline-specific style guides (APA, AMA, Chicago, etc.)</w:t>
            </w:r>
          </w:p>
          <w:p w14:paraId="00000084"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Reference management software: Zotero, Mendeley, or institutional equivalent</w:t>
            </w:r>
          </w:p>
          <w:p w14:paraId="00000085"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3MT competition recordings from university archives and the 3MT Global platform (</w:t>
            </w:r>
            <w:hyperlink r:id="rId9">
              <w:r>
                <w:rPr>
                  <w:rFonts w:ascii="Aptos" w:eastAsia="Aptos" w:hAnsi="Aptos" w:cs="Aptos"/>
                  <w:sz w:val="24"/>
                  <w:szCs w:val="24"/>
                  <w:u w:val="single"/>
                </w:rPr>
                <w:t>https://threeminutethesis.uq.edu.au</w:t>
              </w:r>
            </w:hyperlink>
            <w:r>
              <w:rPr>
                <w:rFonts w:ascii="Aptos" w:eastAsia="Aptos" w:hAnsi="Aptos" w:cs="Aptos"/>
                <w:sz w:val="24"/>
                <w:szCs w:val="24"/>
              </w:rPr>
              <w:t>)</w:t>
            </w:r>
          </w:p>
          <w:p w14:paraId="00000086"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 xml:space="preserve">Policy brief exemplars from major research councils and think-tanks (ESRC, NIH, </w:t>
            </w:r>
            <w:proofErr w:type="spellStart"/>
            <w:r>
              <w:rPr>
                <w:rFonts w:ascii="Aptos" w:eastAsia="Aptos" w:hAnsi="Aptos" w:cs="Aptos"/>
                <w:sz w:val="24"/>
                <w:szCs w:val="24"/>
              </w:rPr>
              <w:t>Wellcome</w:t>
            </w:r>
            <w:proofErr w:type="spellEnd"/>
            <w:r>
              <w:rPr>
                <w:rFonts w:ascii="Aptos" w:eastAsia="Aptos" w:hAnsi="Aptos" w:cs="Aptos"/>
                <w:sz w:val="24"/>
                <w:szCs w:val="24"/>
              </w:rPr>
              <w:t xml:space="preserve"> Trust, OECD, national equivalents)</w:t>
            </w:r>
          </w:p>
          <w:p w14:paraId="00000087"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Video recording and playback equipment or software (e.g., Teams/Zoom for self-review)</w:t>
            </w:r>
          </w:p>
          <w:p w14:paraId="00000088"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Collaborative annotation and feedback platform: Hypothesis, Google Docs</w:t>
            </w:r>
          </w:p>
          <w:p w14:paraId="00000089"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lastRenderedPageBreak/>
              <w:t>Multilingual academic resources: non-English journal platforms in students’ fields</w:t>
            </w:r>
          </w:p>
          <w:p w14:paraId="0000008A" w14:textId="77777777" w:rsidR="00785DC0" w:rsidRDefault="00000000">
            <w:pPr>
              <w:numPr>
                <w:ilvl w:val="0"/>
                <w:numId w:val="7"/>
              </w:numPr>
              <w:jc w:val="both"/>
              <w:rPr>
                <w:rFonts w:ascii="Aptos" w:eastAsia="Aptos" w:hAnsi="Aptos" w:cs="Aptos"/>
                <w:sz w:val="24"/>
                <w:szCs w:val="24"/>
              </w:rPr>
            </w:pPr>
            <w:r>
              <w:rPr>
                <w:rFonts w:ascii="Aptos" w:eastAsia="Aptos" w:hAnsi="Aptos" w:cs="Aptos"/>
                <w:sz w:val="24"/>
                <w:szCs w:val="24"/>
              </w:rPr>
              <w:t xml:space="preserve">Conference simulation materials: abstract submission form, peer review rubric, </w:t>
            </w:r>
            <w:proofErr w:type="spellStart"/>
            <w:r>
              <w:rPr>
                <w:rFonts w:ascii="Aptos" w:eastAsia="Aptos" w:hAnsi="Aptos" w:cs="Aptos"/>
                <w:sz w:val="24"/>
                <w:szCs w:val="24"/>
              </w:rPr>
              <w:t>programme</w:t>
            </w:r>
            <w:proofErr w:type="spellEnd"/>
            <w:r>
              <w:rPr>
                <w:rFonts w:ascii="Aptos" w:eastAsia="Aptos" w:hAnsi="Aptos" w:cs="Aptos"/>
                <w:sz w:val="24"/>
                <w:szCs w:val="24"/>
              </w:rPr>
              <w:t xml:space="preserve"> template, Q&amp;A protocol</w:t>
            </w:r>
          </w:p>
        </w:tc>
      </w:tr>
    </w:tbl>
    <w:p w14:paraId="0000008B" w14:textId="77777777" w:rsidR="00785DC0" w:rsidRDefault="00785DC0">
      <w:pPr>
        <w:pBdr>
          <w:top w:val="nil"/>
          <w:left w:val="nil"/>
          <w:bottom w:val="nil"/>
          <w:right w:val="nil"/>
          <w:between w:val="nil"/>
        </w:pBdr>
        <w:spacing w:after="0"/>
        <w:ind w:left="426"/>
        <w:rPr>
          <w:rFonts w:ascii="Aptos" w:eastAsia="Aptos" w:hAnsi="Aptos" w:cs="Aptos"/>
          <w:b/>
          <w:bCs/>
          <w:color w:val="243673"/>
          <w:sz w:val="24"/>
          <w:szCs w:val="24"/>
        </w:rPr>
      </w:pPr>
    </w:p>
    <w:p w14:paraId="0000008C" w14:textId="77777777" w:rsidR="00785DC0" w:rsidRDefault="00000000">
      <w:pPr>
        <w:spacing w:after="0"/>
        <w:rPr>
          <w:rFonts w:ascii="Aptos" w:eastAsia="Aptos" w:hAnsi="Aptos" w:cs="Aptos"/>
          <w:b/>
          <w:bCs/>
          <w:color w:val="000000"/>
          <w:sz w:val="24"/>
          <w:szCs w:val="24"/>
        </w:rPr>
      </w:pPr>
      <w:bookmarkStart w:id="1" w:name="_heading=h.n52uwsnqp323" w:colFirst="0" w:colLast="0"/>
      <w:bookmarkEnd w:id="1"/>
      <w:r>
        <w:rPr>
          <w:rFonts w:ascii="Aptos" w:eastAsia="Aptos" w:hAnsi="Aptos" w:cs="Aptos"/>
          <w:b/>
          <w:bCs/>
          <w:color w:val="000000"/>
          <w:sz w:val="24"/>
          <w:szCs w:val="24"/>
        </w:rPr>
        <w:t>14. Potential stumbling blocks</w:t>
      </w:r>
    </w:p>
    <w:tbl>
      <w:tblPr>
        <w:tblStyle w:val="af1"/>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785DC0" w14:paraId="4A9A34F7" w14:textId="77777777">
        <w:tc>
          <w:tcPr>
            <w:tcW w:w="9202" w:type="dxa"/>
          </w:tcPr>
          <w:p w14:paraId="0000008D" w14:textId="77777777" w:rsidR="00785DC0" w:rsidRDefault="00000000">
            <w:pPr>
              <w:numPr>
                <w:ilvl w:val="0"/>
                <w:numId w:val="3"/>
              </w:numPr>
              <w:jc w:val="both"/>
              <w:rPr>
                <w:rFonts w:ascii="Aptos" w:eastAsia="Aptos" w:hAnsi="Aptos" w:cs="Aptos"/>
                <w:sz w:val="24"/>
                <w:szCs w:val="24"/>
              </w:rPr>
            </w:pPr>
            <w:r>
              <w:rPr>
                <w:rFonts w:ascii="Aptos" w:eastAsia="Aptos" w:hAnsi="Aptos" w:cs="Aptos"/>
                <w:sz w:val="24"/>
                <w:szCs w:val="24"/>
              </w:rPr>
              <w:t>Students from non-Anglophone scholarly traditions may find that the rhetorical conventions privileged in this scenario (IMRD structure, explicit signposting, author-evacuated prose, hedged claims) conflict with the academic writing norms of their home discipline or national scholarly culture. This should be surfaced as a critical discussion point rather than treated as a deficit.</w:t>
            </w:r>
          </w:p>
          <w:p w14:paraId="0000008E" w14:textId="77777777" w:rsidR="00785DC0" w:rsidRDefault="00000000">
            <w:pPr>
              <w:numPr>
                <w:ilvl w:val="0"/>
                <w:numId w:val="3"/>
              </w:numPr>
              <w:jc w:val="both"/>
              <w:rPr>
                <w:rFonts w:ascii="Aptos" w:eastAsia="Aptos" w:hAnsi="Aptos" w:cs="Aptos"/>
                <w:sz w:val="24"/>
                <w:szCs w:val="24"/>
              </w:rPr>
            </w:pPr>
            <w:r>
              <w:rPr>
                <w:rFonts w:ascii="Aptos" w:eastAsia="Aptos" w:hAnsi="Aptos" w:cs="Aptos"/>
                <w:sz w:val="24"/>
                <w:szCs w:val="24"/>
              </w:rPr>
              <w:t>The shift between the authoritative, hedged register of an academic paper and the direct, accessible register of a policy brief or public article is among the most demanding code-switching tasks at this level. Students may inadvertently over-formalize the plain-language text or oversimplify the academic one.</w:t>
            </w:r>
          </w:p>
          <w:p w14:paraId="0000008F" w14:textId="77777777" w:rsidR="00785DC0" w:rsidRDefault="00000000">
            <w:pPr>
              <w:numPr>
                <w:ilvl w:val="0"/>
                <w:numId w:val="3"/>
              </w:numPr>
              <w:jc w:val="both"/>
              <w:rPr>
                <w:rFonts w:ascii="Aptos" w:eastAsia="Aptos" w:hAnsi="Aptos" w:cs="Aptos"/>
                <w:sz w:val="24"/>
                <w:szCs w:val="24"/>
              </w:rPr>
            </w:pPr>
            <w:r>
              <w:rPr>
                <w:rFonts w:ascii="Aptos" w:eastAsia="Aptos" w:hAnsi="Aptos" w:cs="Aptos"/>
                <w:sz w:val="24"/>
                <w:szCs w:val="24"/>
              </w:rPr>
              <w:t>Time management across three simultaneous complex outputs requires strong self-regulatory capacity. Some students may need structured interim deadlines and check-ins to prevent bottlenecking at the revision stage.</w:t>
            </w:r>
          </w:p>
          <w:p w14:paraId="00000090" w14:textId="77777777" w:rsidR="00785DC0" w:rsidRDefault="00000000">
            <w:pPr>
              <w:numPr>
                <w:ilvl w:val="0"/>
                <w:numId w:val="3"/>
              </w:numPr>
              <w:jc w:val="both"/>
              <w:rPr>
                <w:rFonts w:ascii="Aptos" w:eastAsia="Aptos" w:hAnsi="Aptos" w:cs="Aptos"/>
                <w:sz w:val="24"/>
                <w:szCs w:val="24"/>
              </w:rPr>
            </w:pPr>
            <w:r>
              <w:rPr>
                <w:rFonts w:ascii="Aptos" w:eastAsia="Aptos" w:hAnsi="Aptos" w:cs="Aptos"/>
                <w:sz w:val="24"/>
                <w:szCs w:val="24"/>
              </w:rPr>
              <w:t>The Q&amp;A and scholarly discussion component can be particularly anxiety-inducing for students whose L1 is not English, even at C2 level, when faced with rapid, idiomatic academic exchange under time pressure. Pre-rehearsal of Q&amp;A scenarios with familiar peers is strongly recommended.</w:t>
            </w:r>
          </w:p>
          <w:p w14:paraId="00000091" w14:textId="77777777" w:rsidR="00785DC0" w:rsidRDefault="00000000">
            <w:pPr>
              <w:numPr>
                <w:ilvl w:val="0"/>
                <w:numId w:val="3"/>
              </w:numPr>
              <w:jc w:val="both"/>
              <w:rPr>
                <w:rFonts w:ascii="Aptos" w:eastAsia="Aptos" w:hAnsi="Aptos" w:cs="Aptos"/>
                <w:sz w:val="24"/>
                <w:szCs w:val="24"/>
              </w:rPr>
            </w:pPr>
            <w:r>
              <w:rPr>
                <w:rFonts w:ascii="Aptos" w:eastAsia="Aptos" w:hAnsi="Aptos" w:cs="Aptos"/>
                <w:sz w:val="24"/>
                <w:szCs w:val="24"/>
              </w:rPr>
              <w:t>Integrating the plurilingual dimension meaningfully, rather than superficially, requires metacognitive and critical reflection skills that some students may not have been explicitly asked to exercise before. Instructor modelling and structured reflection prompts are important scaffolds.</w:t>
            </w:r>
          </w:p>
        </w:tc>
      </w:tr>
    </w:tbl>
    <w:p w14:paraId="00000092" w14:textId="77777777" w:rsidR="00785DC0" w:rsidRDefault="00785DC0">
      <w:pPr>
        <w:rPr>
          <w:rFonts w:ascii="Aptos" w:eastAsia="Aptos" w:hAnsi="Aptos" w:cs="Aptos"/>
          <w:b/>
          <w:bCs/>
          <w:color w:val="243673"/>
          <w:sz w:val="28"/>
          <w:szCs w:val="28"/>
        </w:rPr>
      </w:pPr>
    </w:p>
    <w:tbl>
      <w:tblPr>
        <w:tblStyle w:val="af2"/>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785DC0" w14:paraId="18EEC83E" w14:textId="77777777">
        <w:tc>
          <w:tcPr>
            <w:tcW w:w="9633" w:type="dxa"/>
            <w:shd w:val="clear" w:color="auto" w:fill="243673"/>
          </w:tcPr>
          <w:p w14:paraId="00000093" w14:textId="77777777" w:rsidR="00785DC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PART 2. </w:t>
            </w:r>
            <w:r>
              <w:rPr>
                <w:rFonts w:ascii="Aptos" w:eastAsia="Aptos" w:hAnsi="Aptos" w:cs="Aptos"/>
                <w:color w:val="FFFFFF"/>
                <w:sz w:val="28"/>
                <w:szCs w:val="28"/>
              </w:rPr>
              <w:t>TASK DEVELOPMENT</w:t>
            </w:r>
          </w:p>
        </w:tc>
      </w:tr>
    </w:tbl>
    <w:p w14:paraId="00000094" w14:textId="77777777" w:rsidR="00785DC0" w:rsidRDefault="00785DC0">
      <w:pPr>
        <w:pBdr>
          <w:top w:val="nil"/>
          <w:left w:val="nil"/>
          <w:bottom w:val="nil"/>
          <w:right w:val="nil"/>
          <w:between w:val="nil"/>
        </w:pBdr>
        <w:rPr>
          <w:rFonts w:ascii="Aptos" w:eastAsia="Aptos" w:hAnsi="Aptos" w:cs="Aptos"/>
          <w:color w:val="243673"/>
          <w:sz w:val="24"/>
          <w:szCs w:val="24"/>
        </w:rPr>
      </w:pPr>
    </w:p>
    <w:tbl>
      <w:tblPr>
        <w:tblStyle w:val="af3"/>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1"/>
        <w:gridCol w:w="4779"/>
        <w:gridCol w:w="2438"/>
      </w:tblGrid>
      <w:tr w:rsidR="00785DC0" w14:paraId="1B84A434" w14:textId="77777777">
        <w:tc>
          <w:tcPr>
            <w:tcW w:w="2411" w:type="dxa"/>
            <w:shd w:val="clear" w:color="auto" w:fill="243673"/>
          </w:tcPr>
          <w:p w14:paraId="00000095" w14:textId="77777777" w:rsidR="00785DC0" w:rsidRDefault="00000000">
            <w:pPr>
              <w:rPr>
                <w:rFonts w:ascii="Aptos" w:eastAsia="Aptos" w:hAnsi="Aptos" w:cs="Aptos"/>
                <w:b/>
                <w:bCs/>
                <w:color w:val="FFFFFF"/>
                <w:sz w:val="26"/>
                <w:szCs w:val="26"/>
              </w:rPr>
            </w:pPr>
            <w:bookmarkStart w:id="2" w:name="_heading=h.ht49abpbsksb" w:colFirst="0" w:colLast="0"/>
            <w:bookmarkEnd w:id="2"/>
            <w:r>
              <w:rPr>
                <w:rFonts w:ascii="Aptos" w:eastAsia="Aptos" w:hAnsi="Aptos" w:cs="Aptos"/>
                <w:b/>
                <w:bCs/>
                <w:color w:val="FFFFFF"/>
                <w:sz w:val="26"/>
                <w:szCs w:val="26"/>
              </w:rPr>
              <w:t>STEP</w:t>
            </w:r>
          </w:p>
          <w:p w14:paraId="00000096" w14:textId="77777777" w:rsidR="00785DC0" w:rsidRDefault="00785DC0">
            <w:pPr>
              <w:rPr>
                <w:rFonts w:ascii="Aptos" w:eastAsia="Aptos" w:hAnsi="Aptos" w:cs="Aptos"/>
                <w:b/>
                <w:bCs/>
                <w:color w:val="FFFFFF"/>
                <w:sz w:val="26"/>
                <w:szCs w:val="26"/>
              </w:rPr>
            </w:pPr>
          </w:p>
        </w:tc>
        <w:tc>
          <w:tcPr>
            <w:tcW w:w="4779" w:type="dxa"/>
            <w:shd w:val="clear" w:color="auto" w:fill="243673"/>
          </w:tcPr>
          <w:p w14:paraId="00000097" w14:textId="77777777" w:rsidR="00785DC0" w:rsidRDefault="00000000">
            <w:pPr>
              <w:ind w:right="-289"/>
              <w:rPr>
                <w:rFonts w:ascii="Aptos" w:eastAsia="Aptos" w:hAnsi="Aptos" w:cs="Aptos"/>
                <w:b/>
                <w:bCs/>
                <w:color w:val="FFFFFF"/>
                <w:sz w:val="26"/>
                <w:szCs w:val="26"/>
              </w:rPr>
            </w:pPr>
            <w:r>
              <w:rPr>
                <w:rFonts w:ascii="Aptos" w:eastAsia="Aptos" w:hAnsi="Aptos" w:cs="Aptos"/>
                <w:b/>
                <w:bCs/>
                <w:color w:val="FFFFFF"/>
                <w:sz w:val="26"/>
                <w:szCs w:val="26"/>
              </w:rPr>
              <w:t xml:space="preserve">What happens </w:t>
            </w:r>
          </w:p>
        </w:tc>
        <w:tc>
          <w:tcPr>
            <w:tcW w:w="2438" w:type="dxa"/>
            <w:shd w:val="clear" w:color="auto" w:fill="243673"/>
          </w:tcPr>
          <w:p w14:paraId="00000098" w14:textId="77777777" w:rsidR="00785DC0" w:rsidRDefault="00000000">
            <w:pPr>
              <w:ind w:right="-289"/>
              <w:rPr>
                <w:rFonts w:ascii="Aptos" w:eastAsia="Aptos" w:hAnsi="Aptos" w:cs="Aptos"/>
                <w:b/>
                <w:bCs/>
                <w:color w:val="FFFFFF"/>
                <w:sz w:val="26"/>
                <w:szCs w:val="26"/>
              </w:rPr>
            </w:pPr>
            <w:r>
              <w:rPr>
                <w:rFonts w:ascii="Aptos" w:eastAsia="Aptos" w:hAnsi="Aptos" w:cs="Aptos"/>
                <w:b/>
                <w:bCs/>
                <w:color w:val="FFFFFF"/>
                <w:sz w:val="26"/>
                <w:szCs w:val="26"/>
              </w:rPr>
              <w:t>Resources (if any)</w:t>
            </w:r>
          </w:p>
        </w:tc>
      </w:tr>
      <w:tr w:rsidR="00785DC0" w14:paraId="4A9C22C6" w14:textId="77777777">
        <w:tc>
          <w:tcPr>
            <w:tcW w:w="2411" w:type="dxa"/>
          </w:tcPr>
          <w:p w14:paraId="00000099" w14:textId="77777777" w:rsidR="00785DC0" w:rsidRDefault="00000000">
            <w:pPr>
              <w:rPr>
                <w:rFonts w:ascii="Aptos" w:eastAsia="Aptos" w:hAnsi="Aptos" w:cs="Aptos"/>
                <w:b/>
                <w:bCs/>
                <w:color w:val="243673"/>
                <w:sz w:val="24"/>
                <w:szCs w:val="24"/>
              </w:rPr>
            </w:pPr>
            <w:r>
              <w:rPr>
                <w:rFonts w:ascii="Aptos" w:eastAsia="Aptos" w:hAnsi="Aptos" w:cs="Aptos"/>
                <w:b/>
                <w:bCs/>
                <w:color w:val="243673"/>
                <w:sz w:val="24"/>
                <w:szCs w:val="24"/>
              </w:rPr>
              <w:t>1 Genre Immersion and Critical Discourse Analysis</w:t>
            </w:r>
          </w:p>
        </w:tc>
        <w:tc>
          <w:tcPr>
            <w:tcW w:w="4779" w:type="dxa"/>
          </w:tcPr>
          <w:p w14:paraId="0000009A" w14:textId="77777777" w:rsidR="00785DC0" w:rsidRDefault="00000000">
            <w:pPr>
              <w:rPr>
                <w:rFonts w:ascii="Aptos" w:eastAsia="Aptos" w:hAnsi="Aptos" w:cs="Aptos"/>
                <w:sz w:val="24"/>
                <w:szCs w:val="24"/>
              </w:rPr>
            </w:pPr>
            <w:r>
              <w:rPr>
                <w:rFonts w:ascii="Aptos" w:eastAsia="Aptos" w:hAnsi="Aptos" w:cs="Aptos"/>
                <w:b/>
                <w:bCs/>
                <w:color w:val="243673"/>
                <w:sz w:val="24"/>
                <w:szCs w:val="24"/>
              </w:rPr>
              <w:t>Students bring to class three authentic texts from their own discipline</w:t>
            </w:r>
            <w:r>
              <w:rPr>
                <w:rFonts w:ascii="Aptos" w:eastAsia="Aptos" w:hAnsi="Aptos" w:cs="Aptos"/>
                <w:color w:val="243673"/>
                <w:sz w:val="24"/>
                <w:szCs w:val="24"/>
              </w:rPr>
              <w:t xml:space="preserve">: </w:t>
            </w:r>
            <w:r>
              <w:rPr>
                <w:rFonts w:ascii="Aptos" w:eastAsia="Aptos" w:hAnsi="Aptos" w:cs="Aptos"/>
                <w:sz w:val="24"/>
                <w:szCs w:val="24"/>
              </w:rPr>
              <w:t>a recent paper, a policy brief or public research article, and a recording of an oral research presentation (3MT or equivalent). In small cross-disciplinary groups, students conduct a comparative rhetorical analysis of each genre: mapping argumentative moves, identifying stance and hedging conventions, analyzing lexical density and nominalization patterns, and noting how technical content is handled differently across genres.</w:t>
            </w:r>
          </w:p>
          <w:p w14:paraId="0000009B" w14:textId="77777777" w:rsidR="00785DC0" w:rsidRDefault="00785DC0">
            <w:pPr>
              <w:rPr>
                <w:rFonts w:ascii="Aptos" w:eastAsia="Aptos" w:hAnsi="Aptos" w:cs="Aptos"/>
                <w:color w:val="243673"/>
                <w:sz w:val="24"/>
                <w:szCs w:val="24"/>
              </w:rPr>
            </w:pPr>
          </w:p>
          <w:p w14:paraId="0000009C" w14:textId="77777777" w:rsidR="00785DC0" w:rsidRDefault="00000000">
            <w:pPr>
              <w:rPr>
                <w:rFonts w:ascii="Aptos" w:eastAsia="Aptos" w:hAnsi="Aptos" w:cs="Aptos"/>
                <w:sz w:val="24"/>
                <w:szCs w:val="24"/>
              </w:rPr>
            </w:pPr>
            <w:r>
              <w:rPr>
                <w:rFonts w:ascii="Aptos" w:eastAsia="Aptos" w:hAnsi="Aptos" w:cs="Aptos"/>
                <w:b/>
                <w:bCs/>
                <w:color w:val="243673"/>
                <w:sz w:val="24"/>
                <w:szCs w:val="24"/>
              </w:rPr>
              <w:t>Plenary discussion addresses</w:t>
            </w:r>
            <w:r>
              <w:rPr>
                <w:rFonts w:ascii="Aptos" w:eastAsia="Aptos" w:hAnsi="Aptos" w:cs="Aptos"/>
                <w:color w:val="243673"/>
                <w:sz w:val="24"/>
                <w:szCs w:val="24"/>
              </w:rPr>
              <w:t xml:space="preserve">: </w:t>
            </w:r>
            <w:r>
              <w:rPr>
                <w:rFonts w:ascii="Aptos" w:eastAsia="Aptos" w:hAnsi="Aptos" w:cs="Aptos"/>
                <w:sz w:val="24"/>
                <w:szCs w:val="24"/>
              </w:rPr>
              <w:t xml:space="preserve">What do the conventions of your discipline assume </w:t>
            </w:r>
            <w:r>
              <w:rPr>
                <w:rFonts w:ascii="Aptos" w:eastAsia="Aptos" w:hAnsi="Aptos" w:cs="Aptos"/>
                <w:sz w:val="24"/>
                <w:szCs w:val="24"/>
              </w:rPr>
              <w:lastRenderedPageBreak/>
              <w:t>about knowledge, authority, and audience? How does English as an academic language shape what counts as rigorous or persuasive in your field? Where do your home academic tradition’s conventions diverge from the Anglophone norms represented in these texts?</w:t>
            </w:r>
          </w:p>
          <w:p w14:paraId="0000009D" w14:textId="77777777" w:rsidR="00785DC0" w:rsidRDefault="00785DC0">
            <w:pPr>
              <w:rPr>
                <w:rFonts w:ascii="Aptos" w:eastAsia="Aptos" w:hAnsi="Aptos" w:cs="Aptos"/>
                <w:color w:val="243673"/>
                <w:sz w:val="24"/>
                <w:szCs w:val="24"/>
              </w:rPr>
            </w:pPr>
          </w:p>
          <w:p w14:paraId="0000009E" w14:textId="77777777" w:rsidR="00785DC0" w:rsidRDefault="00000000">
            <w:pPr>
              <w:rPr>
                <w:rFonts w:ascii="Aptos" w:eastAsia="Aptos" w:hAnsi="Aptos" w:cs="Aptos"/>
                <w:sz w:val="24"/>
                <w:szCs w:val="24"/>
              </w:rPr>
            </w:pPr>
            <w:r>
              <w:rPr>
                <w:rFonts w:ascii="Aptos" w:eastAsia="Aptos" w:hAnsi="Aptos" w:cs="Aptos"/>
                <w:b/>
                <w:bCs/>
                <w:color w:val="243673"/>
                <w:sz w:val="24"/>
                <w:szCs w:val="24"/>
              </w:rPr>
              <w:t>Note to Instructor</w:t>
            </w:r>
            <w:r>
              <w:rPr>
                <w:rFonts w:ascii="Aptos" w:eastAsia="Aptos" w:hAnsi="Aptos" w:cs="Aptos"/>
                <w:color w:val="243673"/>
                <w:sz w:val="24"/>
                <w:szCs w:val="24"/>
              </w:rPr>
              <w:t xml:space="preserve">: </w:t>
            </w:r>
            <w:r>
              <w:rPr>
                <w:rFonts w:ascii="Aptos" w:eastAsia="Aptos" w:hAnsi="Aptos" w:cs="Aptos"/>
                <w:sz w:val="24"/>
                <w:szCs w:val="24"/>
              </w:rPr>
              <w:t>Encourage students to bring materials in languages other than English where available. The presence of parallel-language texts makes the plurilingual dimensions concrete and analytically productive.</w:t>
            </w:r>
          </w:p>
        </w:tc>
        <w:tc>
          <w:tcPr>
            <w:tcW w:w="2438" w:type="dxa"/>
          </w:tcPr>
          <w:p w14:paraId="0000009F"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lastRenderedPageBreak/>
              <w:t>Authentic text (student-sourced)</w:t>
            </w:r>
          </w:p>
          <w:p w14:paraId="000000A0"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Annotation platform (Hypothesis or Google Docs)</w:t>
            </w:r>
          </w:p>
        </w:tc>
      </w:tr>
      <w:tr w:rsidR="00785DC0" w14:paraId="62EEF57F" w14:textId="77777777">
        <w:tc>
          <w:tcPr>
            <w:tcW w:w="2411" w:type="dxa"/>
          </w:tcPr>
          <w:p w14:paraId="000000A1" w14:textId="77777777" w:rsidR="00785DC0" w:rsidRDefault="00000000">
            <w:pPr>
              <w:rPr>
                <w:rFonts w:ascii="Aptos" w:eastAsia="Aptos" w:hAnsi="Aptos" w:cs="Aptos"/>
                <w:b/>
                <w:bCs/>
                <w:color w:val="243673"/>
                <w:sz w:val="24"/>
                <w:szCs w:val="24"/>
              </w:rPr>
            </w:pPr>
            <w:r>
              <w:rPr>
                <w:rFonts w:ascii="Aptos" w:eastAsia="Aptos" w:hAnsi="Aptos" w:cs="Aptos"/>
                <w:b/>
                <w:bCs/>
                <w:color w:val="243673"/>
                <w:sz w:val="24"/>
                <w:szCs w:val="24"/>
              </w:rPr>
              <w:t>2 Academic Paper Workshop — Peer Review and Scholarly Voice</w:t>
            </w:r>
          </w:p>
        </w:tc>
        <w:tc>
          <w:tcPr>
            <w:tcW w:w="4779" w:type="dxa"/>
          </w:tcPr>
          <w:p w14:paraId="000000A2" w14:textId="77777777" w:rsidR="00785DC0" w:rsidRDefault="00000000">
            <w:pPr>
              <w:rPr>
                <w:rFonts w:ascii="Aptos" w:eastAsia="Aptos" w:hAnsi="Aptos" w:cs="Aptos"/>
                <w:sz w:val="24"/>
                <w:szCs w:val="24"/>
              </w:rPr>
            </w:pPr>
            <w:r>
              <w:rPr>
                <w:rFonts w:ascii="Aptos" w:eastAsia="Aptos" w:hAnsi="Aptos" w:cs="Aptos"/>
                <w:sz w:val="24"/>
                <w:szCs w:val="24"/>
              </w:rPr>
              <w:t>Students submit a draft academic paper or substantial thesis chapter section (minimum 2,000 words) grounded in their own current research. They complete a structured self-evaluation against discipline-specific criteria before the session.</w:t>
            </w:r>
          </w:p>
          <w:p w14:paraId="000000A3" w14:textId="77777777" w:rsidR="00785DC0" w:rsidRDefault="00785DC0">
            <w:pPr>
              <w:rPr>
                <w:rFonts w:ascii="Aptos" w:eastAsia="Aptos" w:hAnsi="Aptos" w:cs="Aptos"/>
                <w:sz w:val="24"/>
                <w:szCs w:val="24"/>
              </w:rPr>
            </w:pPr>
          </w:p>
          <w:p w14:paraId="000000A4" w14:textId="77777777" w:rsidR="00785DC0" w:rsidRDefault="00000000">
            <w:pPr>
              <w:rPr>
                <w:rFonts w:ascii="Aptos" w:eastAsia="Aptos" w:hAnsi="Aptos" w:cs="Aptos"/>
                <w:sz w:val="24"/>
                <w:szCs w:val="24"/>
              </w:rPr>
            </w:pPr>
            <w:r>
              <w:rPr>
                <w:rFonts w:ascii="Aptos" w:eastAsia="Aptos" w:hAnsi="Aptos" w:cs="Aptos"/>
                <w:sz w:val="24"/>
                <w:szCs w:val="24"/>
              </w:rPr>
              <w:t>In-session structured peer review is conducted using a two-stage protocol: (1) a written review focusing on macro-level argumentation, theoretical grounding, and scholarly contribution; (2) a verbal discussion with the author in which reviewers must justify their assessment and authors may respond and ask questions. The session models the journal peer review process explicitly.</w:t>
            </w:r>
          </w:p>
          <w:p w14:paraId="000000A5" w14:textId="77777777" w:rsidR="00785DC0" w:rsidRDefault="00785DC0">
            <w:pPr>
              <w:rPr>
                <w:rFonts w:ascii="Aptos" w:eastAsia="Aptos" w:hAnsi="Aptos" w:cs="Aptos"/>
                <w:sz w:val="24"/>
                <w:szCs w:val="24"/>
              </w:rPr>
            </w:pPr>
          </w:p>
          <w:p w14:paraId="000000A6" w14:textId="77777777" w:rsidR="00785DC0" w:rsidRDefault="00000000">
            <w:pPr>
              <w:rPr>
                <w:rFonts w:ascii="Aptos" w:eastAsia="Aptos" w:hAnsi="Aptos" w:cs="Aptos"/>
                <w:sz w:val="24"/>
                <w:szCs w:val="24"/>
              </w:rPr>
            </w:pPr>
            <w:r>
              <w:rPr>
                <w:rFonts w:ascii="Aptos" w:eastAsia="Aptos" w:hAnsi="Aptos" w:cs="Aptos"/>
                <w:sz w:val="24"/>
                <w:szCs w:val="24"/>
              </w:rPr>
              <w:t>Instructor leads a whole-group discussion on selected anonymized excerpts, focusing on academic voice, hedging, citation integration, and the distinction between descriptive summary and critical synthesis in academic writing.</w:t>
            </w:r>
          </w:p>
          <w:p w14:paraId="000000A7" w14:textId="77777777" w:rsidR="00785DC0" w:rsidRDefault="00785DC0">
            <w:pPr>
              <w:rPr>
                <w:rFonts w:ascii="Aptos" w:eastAsia="Aptos" w:hAnsi="Aptos" w:cs="Aptos"/>
                <w:color w:val="243673"/>
                <w:sz w:val="24"/>
                <w:szCs w:val="24"/>
              </w:rPr>
            </w:pPr>
          </w:p>
          <w:p w14:paraId="000000A8" w14:textId="77777777" w:rsidR="00785DC0" w:rsidRDefault="00000000">
            <w:pPr>
              <w:rPr>
                <w:rFonts w:ascii="Aptos" w:eastAsia="Aptos" w:hAnsi="Aptos" w:cs="Aptos"/>
                <w:sz w:val="24"/>
                <w:szCs w:val="24"/>
              </w:rPr>
            </w:pPr>
            <w:r>
              <w:rPr>
                <w:rFonts w:ascii="Aptos" w:eastAsia="Aptos" w:hAnsi="Aptos" w:cs="Aptos"/>
                <w:b/>
                <w:bCs/>
                <w:color w:val="243673"/>
                <w:sz w:val="24"/>
                <w:szCs w:val="24"/>
              </w:rPr>
              <w:t>Note to Instructor</w:t>
            </w:r>
            <w:r>
              <w:rPr>
                <w:rFonts w:ascii="Aptos" w:eastAsia="Aptos" w:hAnsi="Aptos" w:cs="Aptos"/>
                <w:color w:val="243673"/>
                <w:sz w:val="24"/>
                <w:szCs w:val="24"/>
              </w:rPr>
              <w:t xml:space="preserve">: </w:t>
            </w:r>
            <w:r>
              <w:rPr>
                <w:rFonts w:ascii="Aptos" w:eastAsia="Aptos" w:hAnsi="Aptos" w:cs="Aptos"/>
                <w:sz w:val="24"/>
                <w:szCs w:val="24"/>
              </w:rPr>
              <w:t>Frame this session explicitly as expert scholarly practice, not student correction. Peer reviewers are positioned as colleagues, not evaluators. The goal is to develop metacognitive genre awareness as much as to improve the specific text.</w:t>
            </w:r>
          </w:p>
        </w:tc>
        <w:tc>
          <w:tcPr>
            <w:tcW w:w="2438" w:type="dxa"/>
          </w:tcPr>
          <w:p w14:paraId="000000A9"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Student draft papers (pre-submitted)</w:t>
            </w:r>
          </w:p>
          <w:p w14:paraId="000000AA"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Peer review rubric (discipline-adaptable)</w:t>
            </w:r>
          </w:p>
          <w:p w14:paraId="000000AB"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Annotated exemplars of strong and weak scholarly argumentation</w:t>
            </w:r>
          </w:p>
          <w:p w14:paraId="000000AC"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Self-evaluation checklist</w:t>
            </w:r>
          </w:p>
        </w:tc>
      </w:tr>
      <w:tr w:rsidR="00785DC0" w14:paraId="044CF4BD" w14:textId="77777777">
        <w:tc>
          <w:tcPr>
            <w:tcW w:w="2411" w:type="dxa"/>
          </w:tcPr>
          <w:p w14:paraId="000000AD" w14:textId="77777777" w:rsidR="00785DC0" w:rsidRDefault="00000000">
            <w:pPr>
              <w:rPr>
                <w:rFonts w:ascii="Aptos" w:eastAsia="Aptos" w:hAnsi="Aptos" w:cs="Aptos"/>
                <w:b/>
                <w:bCs/>
                <w:color w:val="243673"/>
                <w:sz w:val="24"/>
                <w:szCs w:val="24"/>
              </w:rPr>
            </w:pPr>
            <w:r>
              <w:rPr>
                <w:rFonts w:ascii="Aptos" w:eastAsia="Aptos" w:hAnsi="Aptos" w:cs="Aptos"/>
                <w:b/>
                <w:bCs/>
                <w:color w:val="243673"/>
                <w:sz w:val="24"/>
                <w:szCs w:val="24"/>
              </w:rPr>
              <w:lastRenderedPageBreak/>
              <w:t>3 Independent Work I — Paper Revision and Plain-Language Planning</w:t>
            </w:r>
          </w:p>
        </w:tc>
        <w:tc>
          <w:tcPr>
            <w:tcW w:w="4779" w:type="dxa"/>
          </w:tcPr>
          <w:p w14:paraId="000000AE" w14:textId="77777777" w:rsidR="00785DC0" w:rsidRDefault="00000000">
            <w:pPr>
              <w:rPr>
                <w:rFonts w:ascii="Aptos" w:eastAsia="Aptos" w:hAnsi="Aptos" w:cs="Aptos"/>
                <w:sz w:val="24"/>
                <w:szCs w:val="24"/>
              </w:rPr>
            </w:pPr>
            <w:r>
              <w:rPr>
                <w:rFonts w:ascii="Aptos" w:eastAsia="Aptos" w:hAnsi="Aptos" w:cs="Aptos"/>
                <w:sz w:val="24"/>
                <w:szCs w:val="24"/>
              </w:rPr>
              <w:t xml:space="preserve">Students revise their academic paper </w:t>
            </w:r>
            <w:proofErr w:type="gramStart"/>
            <w:r>
              <w:rPr>
                <w:rFonts w:ascii="Aptos" w:eastAsia="Aptos" w:hAnsi="Aptos" w:cs="Aptos"/>
                <w:sz w:val="24"/>
                <w:szCs w:val="24"/>
              </w:rPr>
              <w:t>in light of</w:t>
            </w:r>
            <w:proofErr w:type="gramEnd"/>
            <w:r>
              <w:rPr>
                <w:rFonts w:ascii="Aptos" w:eastAsia="Aptos" w:hAnsi="Aptos" w:cs="Aptos"/>
                <w:sz w:val="24"/>
                <w:szCs w:val="24"/>
              </w:rPr>
              <w:t xml:space="preserve"> peer and instructor feedback, paying particular attention </w:t>
            </w:r>
            <w:proofErr w:type="gramStart"/>
            <w:r>
              <w:rPr>
                <w:rFonts w:ascii="Aptos" w:eastAsia="Aptos" w:hAnsi="Aptos" w:cs="Aptos"/>
                <w:sz w:val="24"/>
                <w:szCs w:val="24"/>
              </w:rPr>
              <w:t>to:</w:t>
            </w:r>
            <w:proofErr w:type="gramEnd"/>
            <w:r>
              <w:rPr>
                <w:rFonts w:ascii="Aptos" w:eastAsia="Aptos" w:hAnsi="Aptos" w:cs="Aptos"/>
                <w:sz w:val="24"/>
                <w:szCs w:val="24"/>
              </w:rPr>
              <w:t xml:space="preserve"> argumentation structure; integration and attribution of sources; register consistency; and the precision and appropriacy of disciplinary vocabulary.</w:t>
            </w:r>
          </w:p>
          <w:p w14:paraId="000000AF" w14:textId="77777777" w:rsidR="00785DC0" w:rsidRDefault="00785DC0">
            <w:pPr>
              <w:rPr>
                <w:rFonts w:ascii="Aptos" w:eastAsia="Aptos" w:hAnsi="Aptos" w:cs="Aptos"/>
                <w:color w:val="243673"/>
                <w:sz w:val="24"/>
                <w:szCs w:val="24"/>
              </w:rPr>
            </w:pPr>
          </w:p>
          <w:p w14:paraId="000000B0" w14:textId="77777777" w:rsidR="00785DC0" w:rsidRDefault="00000000">
            <w:pPr>
              <w:rPr>
                <w:rFonts w:ascii="Aptos" w:eastAsia="Aptos" w:hAnsi="Aptos" w:cs="Aptos"/>
                <w:sz w:val="24"/>
                <w:szCs w:val="24"/>
              </w:rPr>
            </w:pPr>
            <w:r>
              <w:rPr>
                <w:rFonts w:ascii="Aptos" w:eastAsia="Aptos" w:hAnsi="Aptos" w:cs="Aptos"/>
                <w:sz w:val="24"/>
                <w:szCs w:val="24"/>
              </w:rPr>
              <w:t>Students also independently conduct a genre analysis of 2–3 policy briefs or public research articles in their field or a closely related domain, producing an annotated analysis of the plain-language conventions observed (sentence length, use of subheadings, signposting language, definition strategies, call-to-action framing). This analysis informs their own plain-language draft.</w:t>
            </w:r>
          </w:p>
          <w:p w14:paraId="000000B1" w14:textId="77777777" w:rsidR="00785DC0" w:rsidRDefault="00785DC0">
            <w:pPr>
              <w:rPr>
                <w:rFonts w:ascii="Aptos" w:eastAsia="Aptos" w:hAnsi="Aptos" w:cs="Aptos"/>
                <w:color w:val="243673"/>
                <w:sz w:val="24"/>
                <w:szCs w:val="24"/>
              </w:rPr>
            </w:pPr>
          </w:p>
          <w:p w14:paraId="000000B2" w14:textId="77777777" w:rsidR="00785DC0" w:rsidRDefault="00000000">
            <w:pPr>
              <w:rPr>
                <w:rFonts w:ascii="Aptos" w:eastAsia="Aptos" w:hAnsi="Aptos" w:cs="Aptos"/>
                <w:sz w:val="24"/>
                <w:szCs w:val="24"/>
              </w:rPr>
            </w:pPr>
            <w:r>
              <w:rPr>
                <w:rFonts w:ascii="Aptos" w:eastAsia="Aptos" w:hAnsi="Aptos" w:cs="Aptos"/>
                <w:b/>
                <w:bCs/>
                <w:color w:val="243673"/>
                <w:sz w:val="24"/>
                <w:szCs w:val="24"/>
              </w:rPr>
              <w:t>Plurilingual task</w:t>
            </w:r>
            <w:r>
              <w:rPr>
                <w:rFonts w:ascii="Aptos" w:eastAsia="Aptos" w:hAnsi="Aptos" w:cs="Aptos"/>
                <w:color w:val="243673"/>
                <w:sz w:val="24"/>
                <w:szCs w:val="24"/>
              </w:rPr>
              <w:t xml:space="preserve">: </w:t>
            </w:r>
            <w:r>
              <w:rPr>
                <w:rFonts w:ascii="Aptos" w:eastAsia="Aptos" w:hAnsi="Aptos" w:cs="Aptos"/>
                <w:sz w:val="24"/>
                <w:szCs w:val="24"/>
              </w:rPr>
              <w:t>Students are asked to identify whether any key theoretical constructs in their research are better captured by a term in their L1 or another language, and to consider how (or whether) to mediate this for an English-language audience.</w:t>
            </w:r>
          </w:p>
        </w:tc>
        <w:tc>
          <w:tcPr>
            <w:tcW w:w="2438" w:type="dxa"/>
          </w:tcPr>
          <w:p w14:paraId="000000B3"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Policy brief exemplars (ESRC, NIH, OECD, field-specific)</w:t>
            </w:r>
          </w:p>
          <w:p w14:paraId="000000B4"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Peer review feedback notes</w:t>
            </w:r>
          </w:p>
          <w:p w14:paraId="000000B5"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Plain-language writing guide</w:t>
            </w:r>
          </w:p>
          <w:p w14:paraId="000000B6"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Personal reference management library</w:t>
            </w:r>
          </w:p>
        </w:tc>
      </w:tr>
      <w:tr w:rsidR="00785DC0" w14:paraId="1755A3D8" w14:textId="77777777">
        <w:tc>
          <w:tcPr>
            <w:tcW w:w="2411" w:type="dxa"/>
          </w:tcPr>
          <w:p w14:paraId="000000B7" w14:textId="77777777" w:rsidR="00785DC0" w:rsidRDefault="00000000">
            <w:pPr>
              <w:rPr>
                <w:rFonts w:ascii="Aptos" w:eastAsia="Aptos" w:hAnsi="Aptos" w:cs="Aptos"/>
                <w:b/>
                <w:bCs/>
                <w:color w:val="243673"/>
                <w:sz w:val="24"/>
                <w:szCs w:val="24"/>
              </w:rPr>
            </w:pPr>
            <w:r>
              <w:rPr>
                <w:rFonts w:ascii="Aptos" w:eastAsia="Aptos" w:hAnsi="Aptos" w:cs="Aptos"/>
                <w:b/>
                <w:bCs/>
                <w:color w:val="243673"/>
                <w:sz w:val="24"/>
                <w:szCs w:val="24"/>
              </w:rPr>
              <w:t>4 Plain-Language Writing Workshop — Recontextualization and Public Engagement</w:t>
            </w:r>
          </w:p>
        </w:tc>
        <w:tc>
          <w:tcPr>
            <w:tcW w:w="4779" w:type="dxa"/>
          </w:tcPr>
          <w:p w14:paraId="000000B8" w14:textId="77777777" w:rsidR="00785DC0" w:rsidRDefault="00000000">
            <w:pPr>
              <w:rPr>
                <w:rFonts w:ascii="Aptos" w:eastAsia="Aptos" w:hAnsi="Aptos" w:cs="Aptos"/>
                <w:sz w:val="24"/>
                <w:szCs w:val="24"/>
              </w:rPr>
            </w:pPr>
            <w:r>
              <w:rPr>
                <w:rFonts w:ascii="Aptos" w:eastAsia="Aptos" w:hAnsi="Aptos" w:cs="Aptos"/>
                <w:sz w:val="24"/>
                <w:szCs w:val="24"/>
              </w:rPr>
              <w:t>Students bring a full draft plain-language summary (policy brief or public article, 600–900 words) of their research. Workshop begins with paired exchanges: each student reads their partner’s draft and identifies (a) one place where the academic content has been successfully rendered accessible, and (b) one place where precision has been lost or complexity under-explained.</w:t>
            </w:r>
          </w:p>
          <w:p w14:paraId="000000B9" w14:textId="77777777" w:rsidR="00785DC0" w:rsidRDefault="00785DC0">
            <w:pPr>
              <w:rPr>
                <w:rFonts w:ascii="Aptos" w:eastAsia="Aptos" w:hAnsi="Aptos" w:cs="Aptos"/>
                <w:sz w:val="24"/>
                <w:szCs w:val="24"/>
              </w:rPr>
            </w:pPr>
          </w:p>
          <w:p w14:paraId="000000BA" w14:textId="77777777" w:rsidR="00785DC0" w:rsidRDefault="00000000">
            <w:pPr>
              <w:rPr>
                <w:rFonts w:ascii="Aptos" w:eastAsia="Aptos" w:hAnsi="Aptos" w:cs="Aptos"/>
                <w:sz w:val="24"/>
                <w:szCs w:val="24"/>
              </w:rPr>
            </w:pPr>
            <w:r>
              <w:rPr>
                <w:rFonts w:ascii="Aptos" w:eastAsia="Aptos" w:hAnsi="Aptos" w:cs="Aptos"/>
                <w:sz w:val="24"/>
                <w:szCs w:val="24"/>
              </w:rPr>
              <w:t>Facilitated class discussion focuses on the ethical and rhetorical dimensions of recontextualization: What are the risks of oversimplifying? Who is the implied reader of your text? How do you build credibility with a non-specialist audience? What is the role of evidence, narrative, and voice in public-facing academic writing?</w:t>
            </w:r>
          </w:p>
          <w:p w14:paraId="000000BB" w14:textId="77777777" w:rsidR="00785DC0" w:rsidRDefault="00785DC0">
            <w:pPr>
              <w:rPr>
                <w:rFonts w:ascii="Aptos" w:eastAsia="Aptos" w:hAnsi="Aptos" w:cs="Aptos"/>
                <w:sz w:val="24"/>
                <w:szCs w:val="24"/>
              </w:rPr>
            </w:pPr>
          </w:p>
          <w:p w14:paraId="000000BC" w14:textId="77777777" w:rsidR="00785DC0" w:rsidRDefault="00000000">
            <w:pPr>
              <w:rPr>
                <w:rFonts w:ascii="Aptos" w:eastAsia="Aptos" w:hAnsi="Aptos" w:cs="Aptos"/>
                <w:sz w:val="24"/>
                <w:szCs w:val="24"/>
              </w:rPr>
            </w:pPr>
            <w:r>
              <w:rPr>
                <w:rFonts w:ascii="Aptos" w:eastAsia="Aptos" w:hAnsi="Aptos" w:cs="Aptos"/>
                <w:sz w:val="24"/>
                <w:szCs w:val="24"/>
              </w:rPr>
              <w:t xml:space="preserve">Students revise their drafts in-session, incorporating feedback. Discussion of plurilingual design choices: Should any </w:t>
            </w:r>
            <w:r>
              <w:rPr>
                <w:rFonts w:ascii="Aptos" w:eastAsia="Aptos" w:hAnsi="Aptos" w:cs="Aptos"/>
                <w:sz w:val="24"/>
                <w:szCs w:val="24"/>
              </w:rPr>
              <w:lastRenderedPageBreak/>
              <w:t>element — a key term, a call to action, an institutional affiliation — appear in a language other than English? Why or why not?</w:t>
            </w:r>
          </w:p>
        </w:tc>
        <w:tc>
          <w:tcPr>
            <w:tcW w:w="2438" w:type="dxa"/>
          </w:tcPr>
          <w:p w14:paraId="000000BD"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lastRenderedPageBreak/>
              <w:t>Student plain-language drafts</w:t>
            </w:r>
          </w:p>
          <w:p w14:paraId="000000BE"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Plain-language assessment rubric</w:t>
            </w:r>
          </w:p>
          <w:p w14:paraId="000000BF"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Exemplary policy briefs and public articles</w:t>
            </w:r>
          </w:p>
          <w:p w14:paraId="000000C0"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Annotation platform for peer feedback</w:t>
            </w:r>
          </w:p>
        </w:tc>
      </w:tr>
      <w:tr w:rsidR="00785DC0" w14:paraId="4B7B5D40" w14:textId="77777777">
        <w:tc>
          <w:tcPr>
            <w:tcW w:w="2411" w:type="dxa"/>
          </w:tcPr>
          <w:p w14:paraId="000000C1" w14:textId="77777777" w:rsidR="00785DC0" w:rsidRDefault="00000000">
            <w:pPr>
              <w:rPr>
                <w:rFonts w:ascii="Aptos" w:eastAsia="Aptos" w:hAnsi="Aptos" w:cs="Aptos"/>
                <w:b/>
                <w:bCs/>
                <w:color w:val="243673"/>
                <w:sz w:val="24"/>
                <w:szCs w:val="24"/>
              </w:rPr>
            </w:pPr>
            <w:r>
              <w:rPr>
                <w:rFonts w:ascii="Aptos" w:eastAsia="Aptos" w:hAnsi="Aptos" w:cs="Aptos"/>
                <w:b/>
                <w:bCs/>
                <w:color w:val="243673"/>
                <w:sz w:val="24"/>
                <w:szCs w:val="24"/>
              </w:rPr>
              <w:t>5 Oral Presentation Lab — 3MT Format and Cross-Disciplinary Communication</w:t>
            </w:r>
          </w:p>
        </w:tc>
        <w:tc>
          <w:tcPr>
            <w:tcW w:w="4779" w:type="dxa"/>
          </w:tcPr>
          <w:p w14:paraId="000000C2" w14:textId="77777777" w:rsidR="00785DC0" w:rsidRDefault="00000000">
            <w:pPr>
              <w:rPr>
                <w:rFonts w:ascii="Aptos" w:eastAsia="Aptos" w:hAnsi="Aptos" w:cs="Aptos"/>
                <w:sz w:val="24"/>
                <w:szCs w:val="24"/>
              </w:rPr>
            </w:pPr>
            <w:r>
              <w:rPr>
                <w:rFonts w:ascii="Aptos" w:eastAsia="Aptos" w:hAnsi="Aptos" w:cs="Aptos"/>
                <w:sz w:val="24"/>
                <w:szCs w:val="24"/>
              </w:rPr>
              <w:t xml:space="preserve">Students deliver a timed 3-minute thesis presentation to the full group, using a single visual slide. Presentations are </w:t>
            </w:r>
            <w:proofErr w:type="gramStart"/>
            <w:r>
              <w:rPr>
                <w:rFonts w:ascii="Aptos" w:eastAsia="Aptos" w:hAnsi="Aptos" w:cs="Aptos"/>
                <w:sz w:val="24"/>
                <w:szCs w:val="24"/>
              </w:rPr>
              <w:t>video-recorded</w:t>
            </w:r>
            <w:proofErr w:type="gramEnd"/>
            <w:r>
              <w:rPr>
                <w:rFonts w:ascii="Aptos" w:eastAsia="Aptos" w:hAnsi="Aptos" w:cs="Aptos"/>
                <w:sz w:val="24"/>
                <w:szCs w:val="24"/>
              </w:rPr>
              <w:t xml:space="preserve"> for subsequent self-review. After each presentation, two assigned peer respondents give structured verbal feedback using a protocol that distinguishes: intelligibility and delivery; argumentative clarity; cross-disciplinary accessibility; and engagement and impact.</w:t>
            </w:r>
          </w:p>
          <w:p w14:paraId="000000C3" w14:textId="77777777" w:rsidR="00785DC0" w:rsidRDefault="00785DC0">
            <w:pPr>
              <w:rPr>
                <w:rFonts w:ascii="Aptos" w:eastAsia="Aptos" w:hAnsi="Aptos" w:cs="Aptos"/>
                <w:sz w:val="24"/>
                <w:szCs w:val="24"/>
              </w:rPr>
            </w:pPr>
          </w:p>
          <w:p w14:paraId="000000C4" w14:textId="77777777" w:rsidR="00785DC0" w:rsidRDefault="00000000">
            <w:pPr>
              <w:rPr>
                <w:rFonts w:ascii="Aptos" w:eastAsia="Aptos" w:hAnsi="Aptos" w:cs="Aptos"/>
                <w:sz w:val="24"/>
                <w:szCs w:val="24"/>
              </w:rPr>
            </w:pPr>
            <w:r>
              <w:rPr>
                <w:rFonts w:ascii="Aptos" w:eastAsia="Aptos" w:hAnsi="Aptos" w:cs="Aptos"/>
                <w:sz w:val="24"/>
                <w:szCs w:val="24"/>
              </w:rPr>
              <w:t>Video playback is used selectively (with student consent) to examine specific moments — for example, how a technical term was introduced, how eye contact and pacing were managed, or how a question was fielded. Students complete a self-reflective commentary on their own recording.</w:t>
            </w:r>
          </w:p>
          <w:p w14:paraId="000000C5" w14:textId="77777777" w:rsidR="00785DC0" w:rsidRDefault="00785DC0">
            <w:pPr>
              <w:rPr>
                <w:rFonts w:ascii="Aptos" w:eastAsia="Aptos" w:hAnsi="Aptos" w:cs="Aptos"/>
                <w:color w:val="243673"/>
                <w:sz w:val="24"/>
                <w:szCs w:val="24"/>
              </w:rPr>
            </w:pPr>
          </w:p>
          <w:p w14:paraId="000000C6" w14:textId="77777777" w:rsidR="00785DC0" w:rsidRDefault="00000000">
            <w:pPr>
              <w:rPr>
                <w:rFonts w:ascii="Aptos" w:eastAsia="Aptos" w:hAnsi="Aptos" w:cs="Aptos"/>
                <w:sz w:val="24"/>
                <w:szCs w:val="24"/>
              </w:rPr>
            </w:pPr>
            <w:r>
              <w:rPr>
                <w:rFonts w:ascii="Aptos" w:eastAsia="Aptos" w:hAnsi="Aptos" w:cs="Aptos"/>
                <w:b/>
                <w:bCs/>
                <w:color w:val="243673"/>
                <w:sz w:val="24"/>
                <w:szCs w:val="24"/>
              </w:rPr>
              <w:t>Q&amp;A simulation</w:t>
            </w:r>
            <w:r>
              <w:rPr>
                <w:rFonts w:ascii="Aptos" w:eastAsia="Aptos" w:hAnsi="Aptos" w:cs="Aptos"/>
                <w:color w:val="243673"/>
                <w:sz w:val="24"/>
                <w:szCs w:val="24"/>
              </w:rPr>
              <w:t xml:space="preserve">: </w:t>
            </w:r>
            <w:r>
              <w:rPr>
                <w:rFonts w:ascii="Aptos" w:eastAsia="Aptos" w:hAnsi="Aptos" w:cs="Aptos"/>
                <w:sz w:val="24"/>
                <w:szCs w:val="24"/>
              </w:rPr>
              <w:t>Each presenter fields two pre-prepared questions from peers (one from their discipline, one from outside) and one spontaneous question. Class debriefs on strategies for managing challenging or unclear questions in academic discourse.</w:t>
            </w:r>
          </w:p>
          <w:p w14:paraId="000000C7" w14:textId="77777777" w:rsidR="00785DC0" w:rsidRDefault="00785DC0">
            <w:pPr>
              <w:rPr>
                <w:rFonts w:ascii="Aptos" w:eastAsia="Aptos" w:hAnsi="Aptos" w:cs="Aptos"/>
                <w:color w:val="243673"/>
                <w:sz w:val="24"/>
                <w:szCs w:val="24"/>
              </w:rPr>
            </w:pPr>
          </w:p>
          <w:p w14:paraId="000000C8" w14:textId="77777777" w:rsidR="00785DC0" w:rsidRDefault="00000000">
            <w:pPr>
              <w:rPr>
                <w:rFonts w:ascii="Aptos" w:eastAsia="Aptos" w:hAnsi="Aptos" w:cs="Aptos"/>
                <w:sz w:val="24"/>
                <w:szCs w:val="24"/>
              </w:rPr>
            </w:pPr>
            <w:r>
              <w:rPr>
                <w:rFonts w:ascii="Aptos" w:eastAsia="Aptos" w:hAnsi="Aptos" w:cs="Aptos"/>
                <w:b/>
                <w:bCs/>
                <w:color w:val="243673"/>
                <w:sz w:val="24"/>
                <w:szCs w:val="24"/>
              </w:rPr>
              <w:t>Note to Instructor</w:t>
            </w:r>
            <w:r>
              <w:rPr>
                <w:rFonts w:ascii="Aptos" w:eastAsia="Aptos" w:hAnsi="Aptos" w:cs="Aptos"/>
                <w:color w:val="243673"/>
                <w:sz w:val="24"/>
                <w:szCs w:val="24"/>
              </w:rPr>
              <w:t xml:space="preserve">: </w:t>
            </w:r>
            <w:r>
              <w:rPr>
                <w:rFonts w:ascii="Aptos" w:eastAsia="Aptos" w:hAnsi="Aptos" w:cs="Aptos"/>
                <w:sz w:val="24"/>
                <w:szCs w:val="24"/>
              </w:rPr>
              <w:t xml:space="preserve">Position the 3MT as a genuine intellectual challenge requiring the same </w:t>
            </w:r>
            <w:proofErr w:type="spellStart"/>
            <w:r>
              <w:rPr>
                <w:rFonts w:ascii="Aptos" w:eastAsia="Aptos" w:hAnsi="Aptos" w:cs="Aptos"/>
                <w:sz w:val="24"/>
                <w:szCs w:val="24"/>
              </w:rPr>
              <w:t>rigour</w:t>
            </w:r>
            <w:proofErr w:type="spellEnd"/>
            <w:r>
              <w:rPr>
                <w:rFonts w:ascii="Aptos" w:eastAsia="Aptos" w:hAnsi="Aptos" w:cs="Aptos"/>
                <w:sz w:val="24"/>
                <w:szCs w:val="24"/>
              </w:rPr>
              <w:t xml:space="preserve"> as the written paper, not as a simplified or lesser form of communication. The best 3MT presentations are deeply scholarly and rhetorically sophisticated.</w:t>
            </w:r>
          </w:p>
        </w:tc>
        <w:tc>
          <w:tcPr>
            <w:tcW w:w="2438" w:type="dxa"/>
          </w:tcPr>
          <w:p w14:paraId="000000C9"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Video recording equipment or Zoom/Teams</w:t>
            </w:r>
          </w:p>
          <w:p w14:paraId="000000CA"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3MT rubric and exemplar recordings</w:t>
            </w:r>
          </w:p>
          <w:p w14:paraId="000000CB"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Structured feedback protocol</w:t>
            </w:r>
          </w:p>
          <w:p w14:paraId="000000CC"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Self-reflective commentary template</w:t>
            </w:r>
          </w:p>
          <w:p w14:paraId="000000CD"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Timer and visual display equipment</w:t>
            </w:r>
          </w:p>
        </w:tc>
      </w:tr>
      <w:tr w:rsidR="00785DC0" w14:paraId="56B53A8A" w14:textId="77777777">
        <w:tc>
          <w:tcPr>
            <w:tcW w:w="2411" w:type="dxa"/>
          </w:tcPr>
          <w:p w14:paraId="000000CE" w14:textId="77777777" w:rsidR="00785DC0" w:rsidRDefault="00000000">
            <w:pPr>
              <w:rPr>
                <w:rFonts w:ascii="Aptos" w:eastAsia="Aptos" w:hAnsi="Aptos" w:cs="Aptos"/>
                <w:b/>
                <w:bCs/>
                <w:color w:val="243673"/>
                <w:sz w:val="24"/>
                <w:szCs w:val="24"/>
              </w:rPr>
            </w:pPr>
            <w:r>
              <w:rPr>
                <w:rFonts w:ascii="Aptos" w:eastAsia="Aptos" w:hAnsi="Aptos" w:cs="Aptos"/>
                <w:b/>
                <w:bCs/>
                <w:color w:val="243673"/>
                <w:sz w:val="24"/>
                <w:szCs w:val="24"/>
              </w:rPr>
              <w:t>6 Independent Work II — Final Integration, Rehearsal, and Reflection</w:t>
            </w:r>
          </w:p>
        </w:tc>
        <w:tc>
          <w:tcPr>
            <w:tcW w:w="4779" w:type="dxa"/>
          </w:tcPr>
          <w:p w14:paraId="000000CF" w14:textId="77777777" w:rsidR="00785DC0" w:rsidRDefault="00000000">
            <w:pPr>
              <w:rPr>
                <w:rFonts w:ascii="Aptos" w:eastAsia="Aptos" w:hAnsi="Aptos" w:cs="Aptos"/>
                <w:sz w:val="24"/>
                <w:szCs w:val="24"/>
              </w:rPr>
            </w:pPr>
            <w:r>
              <w:rPr>
                <w:rFonts w:ascii="Aptos" w:eastAsia="Aptos" w:hAnsi="Aptos" w:cs="Aptos"/>
                <w:sz w:val="24"/>
                <w:szCs w:val="24"/>
              </w:rPr>
              <w:t>Students complete final revisions of all three outputs (academic paper, plain-language summary, oral presentation), ensuring internal consistency across the suite: the same research must be represented accurately and appropriately in each genre.</w:t>
            </w:r>
          </w:p>
          <w:p w14:paraId="000000D0" w14:textId="77777777" w:rsidR="00785DC0" w:rsidRDefault="00785DC0">
            <w:pPr>
              <w:rPr>
                <w:rFonts w:ascii="Aptos" w:eastAsia="Aptos" w:hAnsi="Aptos" w:cs="Aptos"/>
                <w:sz w:val="24"/>
                <w:szCs w:val="24"/>
              </w:rPr>
            </w:pPr>
          </w:p>
          <w:p w14:paraId="000000D1" w14:textId="77777777" w:rsidR="00785DC0" w:rsidRDefault="00000000">
            <w:pPr>
              <w:rPr>
                <w:rFonts w:ascii="Aptos" w:eastAsia="Aptos" w:hAnsi="Aptos" w:cs="Aptos"/>
                <w:sz w:val="24"/>
                <w:szCs w:val="24"/>
              </w:rPr>
            </w:pPr>
            <w:r>
              <w:rPr>
                <w:rFonts w:ascii="Aptos" w:eastAsia="Aptos" w:hAnsi="Aptos" w:cs="Aptos"/>
                <w:sz w:val="24"/>
                <w:szCs w:val="24"/>
              </w:rPr>
              <w:t xml:space="preserve">Students write a critical reflective commentary (600–800 words) on the communicative choices made across the </w:t>
            </w:r>
            <w:r>
              <w:rPr>
                <w:rFonts w:ascii="Aptos" w:eastAsia="Aptos" w:hAnsi="Aptos" w:cs="Aptos"/>
                <w:sz w:val="24"/>
                <w:szCs w:val="24"/>
              </w:rPr>
              <w:lastRenderedPageBreak/>
              <w:t>three outputs. This commentary should address: the genre conventions navigated in each output; the key moments of recontextualization from academic to plain language; the role of their multilingual repertoire in shaping their work; and what they understand differently about research communication after completing this project.</w:t>
            </w:r>
          </w:p>
          <w:p w14:paraId="000000D2" w14:textId="77777777" w:rsidR="00785DC0" w:rsidRDefault="00785DC0">
            <w:pPr>
              <w:rPr>
                <w:rFonts w:ascii="Aptos" w:eastAsia="Aptos" w:hAnsi="Aptos" w:cs="Aptos"/>
                <w:sz w:val="24"/>
                <w:szCs w:val="24"/>
              </w:rPr>
            </w:pPr>
          </w:p>
          <w:p w14:paraId="000000D3" w14:textId="77777777" w:rsidR="00785DC0" w:rsidRDefault="00000000">
            <w:pPr>
              <w:rPr>
                <w:rFonts w:ascii="Aptos" w:eastAsia="Aptos" w:hAnsi="Aptos" w:cs="Aptos"/>
                <w:sz w:val="24"/>
                <w:szCs w:val="24"/>
              </w:rPr>
            </w:pPr>
            <w:r>
              <w:rPr>
                <w:rFonts w:ascii="Aptos" w:eastAsia="Aptos" w:hAnsi="Aptos" w:cs="Aptos"/>
                <w:sz w:val="24"/>
                <w:szCs w:val="24"/>
              </w:rPr>
              <w:t>Final rehearsal of 3MT presentation and preparation of conference abstract (250 words), poster or slide deck for the public engagement display, and any plurilingual materials for the conference event.</w:t>
            </w:r>
          </w:p>
        </w:tc>
        <w:tc>
          <w:tcPr>
            <w:tcW w:w="2438" w:type="dxa"/>
          </w:tcPr>
          <w:p w14:paraId="000000D4"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lastRenderedPageBreak/>
              <w:t>Full output suite (paper, summary, slides)</w:t>
            </w:r>
          </w:p>
          <w:p w14:paraId="000000D5"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Reflective commentary prompt</w:t>
            </w:r>
          </w:p>
          <w:p w14:paraId="000000D6"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Conference abstract template</w:t>
            </w:r>
          </w:p>
          <w:p w14:paraId="000000D7"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 xml:space="preserve">Conference </w:t>
            </w:r>
            <w:proofErr w:type="spellStart"/>
            <w:r>
              <w:rPr>
                <w:rFonts w:ascii="Aptos" w:eastAsia="Aptos" w:hAnsi="Aptos" w:cs="Aptos"/>
                <w:color w:val="243673"/>
                <w:sz w:val="24"/>
                <w:szCs w:val="24"/>
              </w:rPr>
              <w:t>programme</w:t>
            </w:r>
            <w:proofErr w:type="spellEnd"/>
            <w:r>
              <w:rPr>
                <w:rFonts w:ascii="Aptos" w:eastAsia="Aptos" w:hAnsi="Aptos" w:cs="Aptos"/>
                <w:color w:val="243673"/>
                <w:sz w:val="24"/>
                <w:szCs w:val="24"/>
              </w:rPr>
              <w:t xml:space="preserve"> and logistics</w:t>
            </w:r>
          </w:p>
        </w:tc>
      </w:tr>
      <w:tr w:rsidR="00785DC0" w14:paraId="01939541" w14:textId="77777777">
        <w:tc>
          <w:tcPr>
            <w:tcW w:w="2411" w:type="dxa"/>
          </w:tcPr>
          <w:p w14:paraId="000000D8" w14:textId="77777777" w:rsidR="00785DC0" w:rsidRDefault="00000000">
            <w:pPr>
              <w:rPr>
                <w:rFonts w:ascii="Aptos" w:eastAsia="Aptos" w:hAnsi="Aptos" w:cs="Aptos"/>
                <w:b/>
                <w:bCs/>
                <w:color w:val="243673"/>
                <w:sz w:val="24"/>
                <w:szCs w:val="24"/>
              </w:rPr>
            </w:pPr>
            <w:r>
              <w:rPr>
                <w:rFonts w:ascii="Aptos" w:eastAsia="Aptos" w:hAnsi="Aptos" w:cs="Aptos"/>
                <w:b/>
                <w:bCs/>
                <w:color w:val="243673"/>
                <w:sz w:val="24"/>
                <w:szCs w:val="24"/>
              </w:rPr>
              <w:t>Culminating Task Voices of the Field — Simulated Academic Conference and Public Engagement Event</w:t>
            </w:r>
          </w:p>
        </w:tc>
        <w:tc>
          <w:tcPr>
            <w:tcW w:w="4779" w:type="dxa"/>
          </w:tcPr>
          <w:p w14:paraId="000000D9" w14:textId="77777777" w:rsidR="00785DC0" w:rsidRDefault="00000000">
            <w:pPr>
              <w:rPr>
                <w:rFonts w:ascii="Aptos" w:eastAsia="Aptos" w:hAnsi="Aptos" w:cs="Aptos"/>
                <w:sz w:val="24"/>
                <w:szCs w:val="24"/>
              </w:rPr>
            </w:pPr>
            <w:r>
              <w:rPr>
                <w:rFonts w:ascii="Aptos" w:eastAsia="Aptos" w:hAnsi="Aptos" w:cs="Aptos"/>
                <w:sz w:val="24"/>
                <w:szCs w:val="24"/>
              </w:rPr>
              <w:t>The culminating task is a full-day simulated academic conference structured around three concurrent streams:</w:t>
            </w:r>
          </w:p>
          <w:p w14:paraId="000000DA" w14:textId="77777777" w:rsidR="00785DC0" w:rsidRDefault="00785DC0">
            <w:pPr>
              <w:rPr>
                <w:rFonts w:ascii="Aptos" w:eastAsia="Aptos" w:hAnsi="Aptos" w:cs="Aptos"/>
                <w:color w:val="243673"/>
                <w:sz w:val="24"/>
                <w:szCs w:val="24"/>
              </w:rPr>
            </w:pPr>
          </w:p>
          <w:p w14:paraId="000000DB" w14:textId="77777777" w:rsidR="00785DC0" w:rsidRDefault="00000000">
            <w:pPr>
              <w:rPr>
                <w:rFonts w:ascii="Aptos" w:eastAsia="Aptos" w:hAnsi="Aptos" w:cs="Aptos"/>
                <w:sz w:val="24"/>
                <w:szCs w:val="24"/>
              </w:rPr>
            </w:pPr>
            <w:r>
              <w:rPr>
                <w:rFonts w:ascii="Aptos" w:eastAsia="Aptos" w:hAnsi="Aptos" w:cs="Aptos"/>
                <w:b/>
                <w:bCs/>
                <w:color w:val="243673"/>
                <w:sz w:val="24"/>
                <w:szCs w:val="24"/>
              </w:rPr>
              <w:t>Conference Paper Stream</w:t>
            </w:r>
            <w:r>
              <w:rPr>
                <w:rFonts w:ascii="Aptos" w:eastAsia="Aptos" w:hAnsi="Aptos" w:cs="Aptos"/>
                <w:color w:val="243673"/>
                <w:sz w:val="24"/>
                <w:szCs w:val="24"/>
              </w:rPr>
              <w:t xml:space="preserve">: </w:t>
            </w:r>
            <w:r>
              <w:rPr>
                <w:rFonts w:ascii="Aptos" w:eastAsia="Aptos" w:hAnsi="Aptos" w:cs="Aptos"/>
                <w:sz w:val="24"/>
                <w:szCs w:val="24"/>
              </w:rPr>
              <w:t xml:space="preserve">Each student presents their academic paper (10 minutes + 5 minutes Q&amp;A) to a panel including at least one instructor and peers acting as discussants. Panels are </w:t>
            </w:r>
            <w:proofErr w:type="spellStart"/>
            <w:r>
              <w:rPr>
                <w:rFonts w:ascii="Aptos" w:eastAsia="Aptos" w:hAnsi="Aptos" w:cs="Aptos"/>
                <w:sz w:val="24"/>
                <w:szCs w:val="24"/>
              </w:rPr>
              <w:t>organised</w:t>
            </w:r>
            <w:proofErr w:type="spellEnd"/>
            <w:r>
              <w:rPr>
                <w:rFonts w:ascii="Aptos" w:eastAsia="Aptos" w:hAnsi="Aptos" w:cs="Aptos"/>
                <w:sz w:val="24"/>
                <w:szCs w:val="24"/>
              </w:rPr>
              <w:t xml:space="preserve"> cross-disciplinarily where possible. Students are expected to engage with questions with scholarly authority, including conceding, qualifying, and defending positions.</w:t>
            </w:r>
          </w:p>
          <w:p w14:paraId="000000DC" w14:textId="77777777" w:rsidR="00785DC0" w:rsidRDefault="00785DC0">
            <w:pPr>
              <w:rPr>
                <w:rFonts w:ascii="Aptos" w:eastAsia="Aptos" w:hAnsi="Aptos" w:cs="Aptos"/>
                <w:color w:val="243673"/>
                <w:sz w:val="24"/>
                <w:szCs w:val="24"/>
              </w:rPr>
            </w:pPr>
          </w:p>
          <w:p w14:paraId="000000DD" w14:textId="77777777" w:rsidR="00785DC0" w:rsidRDefault="00000000">
            <w:pPr>
              <w:rPr>
                <w:rFonts w:ascii="Aptos" w:eastAsia="Aptos" w:hAnsi="Aptos" w:cs="Aptos"/>
                <w:sz w:val="24"/>
                <w:szCs w:val="24"/>
              </w:rPr>
            </w:pPr>
            <w:r>
              <w:rPr>
                <w:rFonts w:ascii="Aptos" w:eastAsia="Aptos" w:hAnsi="Aptos" w:cs="Aptos"/>
                <w:b/>
                <w:bCs/>
                <w:color w:val="243673"/>
                <w:sz w:val="24"/>
                <w:szCs w:val="24"/>
              </w:rPr>
              <w:t>3MT Competition Round</w:t>
            </w:r>
            <w:r>
              <w:rPr>
                <w:rFonts w:ascii="Aptos" w:eastAsia="Aptos" w:hAnsi="Aptos" w:cs="Aptos"/>
                <w:color w:val="243673"/>
                <w:sz w:val="24"/>
                <w:szCs w:val="24"/>
              </w:rPr>
              <w:t xml:space="preserve">: </w:t>
            </w:r>
            <w:r>
              <w:rPr>
                <w:rFonts w:ascii="Aptos" w:eastAsia="Aptos" w:hAnsi="Aptos" w:cs="Aptos"/>
                <w:sz w:val="24"/>
                <w:szCs w:val="24"/>
              </w:rPr>
              <w:t>All students deliver their three-minute thesis to a plenary audience that includes peers, instructors, and invited guests (faculty members, research office staff, or other academic stakeholders). A structured judging panel provides feedback using the institutional 3MT rubric.</w:t>
            </w:r>
          </w:p>
          <w:p w14:paraId="000000DE" w14:textId="77777777" w:rsidR="00785DC0" w:rsidRDefault="00785DC0">
            <w:pPr>
              <w:rPr>
                <w:rFonts w:ascii="Aptos" w:eastAsia="Aptos" w:hAnsi="Aptos" w:cs="Aptos"/>
                <w:color w:val="243673"/>
                <w:sz w:val="24"/>
                <w:szCs w:val="24"/>
              </w:rPr>
            </w:pPr>
          </w:p>
          <w:p w14:paraId="000000DF" w14:textId="77777777" w:rsidR="00785DC0" w:rsidRDefault="00000000">
            <w:pPr>
              <w:rPr>
                <w:rFonts w:ascii="Aptos" w:eastAsia="Aptos" w:hAnsi="Aptos" w:cs="Aptos"/>
                <w:sz w:val="24"/>
                <w:szCs w:val="24"/>
              </w:rPr>
            </w:pPr>
            <w:r>
              <w:rPr>
                <w:rFonts w:ascii="Aptos" w:eastAsia="Aptos" w:hAnsi="Aptos" w:cs="Aptos"/>
                <w:b/>
                <w:bCs/>
                <w:color w:val="243673"/>
                <w:sz w:val="24"/>
                <w:szCs w:val="24"/>
              </w:rPr>
              <w:t>Public Engagement Display</w:t>
            </w:r>
            <w:r>
              <w:rPr>
                <w:rFonts w:ascii="Aptos" w:eastAsia="Aptos" w:hAnsi="Aptos" w:cs="Aptos"/>
                <w:color w:val="243673"/>
                <w:sz w:val="24"/>
                <w:szCs w:val="24"/>
              </w:rPr>
              <w:t xml:space="preserve">: </w:t>
            </w:r>
            <w:r>
              <w:rPr>
                <w:rFonts w:ascii="Aptos" w:eastAsia="Aptos" w:hAnsi="Aptos" w:cs="Aptos"/>
                <w:sz w:val="24"/>
                <w:szCs w:val="24"/>
              </w:rPr>
              <w:t>Plain-language summaries and research posters are displayed for a timed open session in which students present their work to visitors (faculty, administrative staff, invited community representatives) who are not specialists in their field. Students field questions and explain their research in accessible terms.</w:t>
            </w:r>
          </w:p>
          <w:p w14:paraId="000000E0" w14:textId="77777777" w:rsidR="00785DC0" w:rsidRDefault="00785DC0">
            <w:pPr>
              <w:rPr>
                <w:rFonts w:ascii="Aptos" w:eastAsia="Aptos" w:hAnsi="Aptos" w:cs="Aptos"/>
                <w:sz w:val="24"/>
                <w:szCs w:val="24"/>
              </w:rPr>
            </w:pPr>
          </w:p>
          <w:p w14:paraId="000000E1" w14:textId="77777777" w:rsidR="00785DC0" w:rsidRDefault="00000000">
            <w:pPr>
              <w:rPr>
                <w:rFonts w:ascii="Aptos" w:eastAsia="Aptos" w:hAnsi="Aptos" w:cs="Aptos"/>
                <w:sz w:val="24"/>
                <w:szCs w:val="24"/>
              </w:rPr>
            </w:pPr>
            <w:r>
              <w:rPr>
                <w:rFonts w:ascii="Aptos" w:eastAsia="Aptos" w:hAnsi="Aptos" w:cs="Aptos"/>
                <w:sz w:val="24"/>
                <w:szCs w:val="24"/>
              </w:rPr>
              <w:lastRenderedPageBreak/>
              <w:t>The event closes with a plenary reflective discussion: What did you learn about the relationship between language, genre, and knowledge? How did your experience as a multilingual academic shape your approach? What would you do differently?</w:t>
            </w:r>
          </w:p>
        </w:tc>
        <w:tc>
          <w:tcPr>
            <w:tcW w:w="2438" w:type="dxa"/>
          </w:tcPr>
          <w:p w14:paraId="000000E2"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lastRenderedPageBreak/>
              <w:t>Conference venue and AV setup</w:t>
            </w:r>
          </w:p>
          <w:p w14:paraId="000000E3"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Projector, microphone, timer</w:t>
            </w:r>
          </w:p>
          <w:p w14:paraId="000000E4"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 xml:space="preserve">Printed </w:t>
            </w:r>
            <w:proofErr w:type="spellStart"/>
            <w:r>
              <w:rPr>
                <w:rFonts w:ascii="Aptos" w:eastAsia="Aptos" w:hAnsi="Aptos" w:cs="Aptos"/>
                <w:color w:val="243673"/>
                <w:sz w:val="24"/>
                <w:szCs w:val="24"/>
              </w:rPr>
              <w:t>programme</w:t>
            </w:r>
            <w:proofErr w:type="spellEnd"/>
            <w:r>
              <w:rPr>
                <w:rFonts w:ascii="Aptos" w:eastAsia="Aptos" w:hAnsi="Aptos" w:cs="Aptos"/>
                <w:color w:val="243673"/>
                <w:sz w:val="24"/>
                <w:szCs w:val="24"/>
              </w:rPr>
              <w:t xml:space="preserve"> and abstract booklet</w:t>
            </w:r>
          </w:p>
          <w:p w14:paraId="000000E5"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Judging rubrics (paper, 3MT, plain-language)</w:t>
            </w:r>
          </w:p>
          <w:p w14:paraId="000000E6"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Poster display boards</w:t>
            </w:r>
          </w:p>
          <w:p w14:paraId="000000E7"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Invited external audience (faculty, stakeholders)</w:t>
            </w:r>
          </w:p>
          <w:p w14:paraId="000000E8" w14:textId="77777777" w:rsidR="00785DC0" w:rsidRDefault="00000000">
            <w:pPr>
              <w:rPr>
                <w:rFonts w:ascii="Aptos" w:eastAsia="Aptos" w:hAnsi="Aptos" w:cs="Aptos"/>
                <w:color w:val="243673"/>
                <w:sz w:val="24"/>
                <w:szCs w:val="24"/>
              </w:rPr>
            </w:pPr>
            <w:r>
              <w:rPr>
                <w:rFonts w:ascii="Aptos" w:eastAsia="Aptos" w:hAnsi="Aptos" w:cs="Aptos"/>
                <w:color w:val="243673"/>
                <w:sz w:val="24"/>
                <w:szCs w:val="24"/>
              </w:rPr>
              <w:t>Video recording (for student self-review)</w:t>
            </w:r>
          </w:p>
        </w:tc>
      </w:tr>
    </w:tbl>
    <w:p w14:paraId="000000E9" w14:textId="77777777" w:rsidR="00785DC0" w:rsidRDefault="00000000">
      <w:r>
        <w:br w:type="page"/>
      </w:r>
    </w:p>
    <w:tbl>
      <w:tblPr>
        <w:tblStyle w:val="af4"/>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785DC0" w14:paraId="15D19F48" w14:textId="77777777">
        <w:tc>
          <w:tcPr>
            <w:tcW w:w="9633" w:type="dxa"/>
            <w:shd w:val="clear" w:color="auto" w:fill="243673"/>
          </w:tcPr>
          <w:p w14:paraId="000000EA" w14:textId="77777777" w:rsidR="00785DC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lastRenderedPageBreak/>
              <w:t xml:space="preserve">APPENDIX 1.1 </w:t>
            </w:r>
            <w:r>
              <w:rPr>
                <w:rFonts w:ascii="Aptos" w:eastAsia="Aptos" w:hAnsi="Aptos" w:cs="Aptos"/>
                <w:color w:val="FFFFFF"/>
                <w:sz w:val="28"/>
                <w:szCs w:val="28"/>
              </w:rPr>
              <w:t>OBSERVATION CHECKLIST (CULMINATING TASK)</w:t>
            </w:r>
          </w:p>
        </w:tc>
      </w:tr>
    </w:tbl>
    <w:p w14:paraId="000000EB" w14:textId="77777777" w:rsidR="00785DC0" w:rsidRDefault="00785DC0">
      <w:pPr>
        <w:rPr>
          <w:rFonts w:ascii="Aptos" w:eastAsia="Aptos" w:hAnsi="Aptos" w:cs="Aptos"/>
          <w:color w:val="243673"/>
        </w:rPr>
      </w:pPr>
    </w:p>
    <w:tbl>
      <w:tblPr>
        <w:tblStyle w:val="af5"/>
        <w:tblW w:w="96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0"/>
        <w:gridCol w:w="850"/>
        <w:gridCol w:w="1276"/>
        <w:gridCol w:w="992"/>
      </w:tblGrid>
      <w:tr w:rsidR="00785DC0" w14:paraId="25D83745" w14:textId="77777777">
        <w:tc>
          <w:tcPr>
            <w:tcW w:w="9638" w:type="dxa"/>
            <w:gridSpan w:val="4"/>
          </w:tcPr>
          <w:p w14:paraId="000000EC" w14:textId="77777777" w:rsidR="00785DC0" w:rsidRDefault="00000000">
            <w:pPr>
              <w:widowControl w:val="0"/>
              <w:rPr>
                <w:rFonts w:ascii="Aptos" w:eastAsia="Aptos" w:hAnsi="Aptos" w:cs="Aptos"/>
                <w:b/>
                <w:bCs/>
                <w:color w:val="243673"/>
              </w:rPr>
            </w:pPr>
            <w:r>
              <w:rPr>
                <w:rFonts w:ascii="Aptos" w:eastAsia="Aptos" w:hAnsi="Aptos" w:cs="Aptos"/>
              </w:rPr>
              <w:t>By the end of this task, (name of student) _____________________________:</w:t>
            </w:r>
          </w:p>
        </w:tc>
      </w:tr>
      <w:tr w:rsidR="00785DC0" w14:paraId="666063AC" w14:textId="77777777">
        <w:tc>
          <w:tcPr>
            <w:tcW w:w="6520" w:type="dxa"/>
            <w:shd w:val="clear" w:color="auto" w:fill="243673"/>
          </w:tcPr>
          <w:p w14:paraId="000000F0" w14:textId="77777777" w:rsidR="00785DC0" w:rsidRDefault="00000000">
            <w:pPr>
              <w:widowControl w:val="0"/>
              <w:rPr>
                <w:rFonts w:ascii="Aptos" w:eastAsia="Aptos" w:hAnsi="Aptos" w:cs="Aptos"/>
                <w:color w:val="FFFFFF"/>
              </w:rPr>
            </w:pPr>
            <w:r>
              <w:rPr>
                <w:rFonts w:ascii="Aptos" w:eastAsia="Aptos" w:hAnsi="Aptos" w:cs="Aptos"/>
                <w:b/>
                <w:bCs/>
                <w:color w:val="FFFFFF"/>
              </w:rPr>
              <w:t xml:space="preserve">Communicative language </w:t>
            </w:r>
            <w:sdt>
              <w:sdtPr>
                <w:tag w:val="goog_rdk_0"/>
                <w:id w:val="125325332"/>
              </w:sdtPr>
              <w:sdtContent/>
            </w:sdt>
            <w:sdt>
              <w:sdtPr>
                <w:tag w:val="goog_rdk_1"/>
                <w:id w:val="1900987026"/>
              </w:sdtPr>
              <w:sdtContent/>
            </w:sdt>
            <w:r>
              <w:rPr>
                <w:rFonts w:ascii="Aptos" w:eastAsia="Aptos" w:hAnsi="Aptos" w:cs="Aptos"/>
                <w:b/>
                <w:bCs/>
                <w:color w:val="FFFFFF"/>
              </w:rPr>
              <w:t>activities</w:t>
            </w:r>
          </w:p>
        </w:tc>
        <w:tc>
          <w:tcPr>
            <w:tcW w:w="850" w:type="dxa"/>
            <w:shd w:val="clear" w:color="auto" w:fill="243673"/>
          </w:tcPr>
          <w:p w14:paraId="000000F1" w14:textId="77777777" w:rsidR="00785DC0" w:rsidRDefault="00000000">
            <w:pPr>
              <w:widowControl w:val="0"/>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000000F2" w14:textId="77777777" w:rsidR="00785DC0" w:rsidRDefault="00000000">
            <w:pPr>
              <w:widowControl w:val="0"/>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000000F3" w14:textId="77777777" w:rsidR="00785DC0" w:rsidRDefault="00000000">
            <w:pPr>
              <w:widowControl w:val="0"/>
              <w:rPr>
                <w:rFonts w:ascii="Aptos" w:eastAsia="Aptos" w:hAnsi="Aptos" w:cs="Aptos"/>
                <w:color w:val="FFFFFF"/>
              </w:rPr>
            </w:pPr>
            <w:r>
              <w:rPr>
                <w:rFonts w:ascii="Aptos" w:eastAsia="Aptos" w:hAnsi="Aptos" w:cs="Aptos"/>
                <w:b/>
                <w:bCs/>
                <w:color w:val="FFFFFF"/>
              </w:rPr>
              <w:t>not yet</w:t>
            </w:r>
          </w:p>
        </w:tc>
      </w:tr>
      <w:tr w:rsidR="00785DC0" w14:paraId="1ADC9EE5" w14:textId="77777777">
        <w:tc>
          <w:tcPr>
            <w:tcW w:w="6520" w:type="dxa"/>
            <w:tcBorders>
              <w:bottom w:val="single" w:sz="4" w:space="0" w:color="000000"/>
            </w:tcBorders>
          </w:tcPr>
          <w:p w14:paraId="000000F4" w14:textId="77777777" w:rsidR="00785DC0" w:rsidRDefault="00000000">
            <w:pPr>
              <w:widowControl w:val="0"/>
              <w:spacing w:after="0" w:line="240" w:lineRule="auto"/>
              <w:rPr>
                <w:rFonts w:ascii="Aptos" w:eastAsia="Aptos" w:hAnsi="Aptos" w:cs="Aptos"/>
                <w:color w:val="243673"/>
              </w:rPr>
            </w:pPr>
            <w:r>
              <w:rPr>
                <w:rFonts w:ascii="Arial" w:eastAsia="Arial" w:hAnsi="Arial" w:cs="Arial"/>
                <w:color w:val="243673"/>
              </w:rPr>
              <w:t xml:space="preserve">Can participate spontaneously and with scholarly authority in academic discussion, responding to complex questions, building on interlocutors’ points, defending positions, and conceding where appropriate. </w:t>
            </w:r>
          </w:p>
        </w:tc>
        <w:tc>
          <w:tcPr>
            <w:tcW w:w="850" w:type="dxa"/>
          </w:tcPr>
          <w:p w14:paraId="000000F5" w14:textId="77777777" w:rsidR="00785DC0" w:rsidRDefault="00785DC0">
            <w:pPr>
              <w:widowControl w:val="0"/>
              <w:spacing w:after="0" w:line="240" w:lineRule="auto"/>
              <w:rPr>
                <w:rFonts w:ascii="Aptos" w:eastAsia="Aptos" w:hAnsi="Aptos" w:cs="Aptos"/>
                <w:color w:val="243673"/>
              </w:rPr>
            </w:pPr>
          </w:p>
        </w:tc>
        <w:tc>
          <w:tcPr>
            <w:tcW w:w="1276" w:type="dxa"/>
          </w:tcPr>
          <w:p w14:paraId="000000F6" w14:textId="77777777" w:rsidR="00785DC0" w:rsidRDefault="00785DC0">
            <w:pPr>
              <w:widowControl w:val="0"/>
              <w:spacing w:after="0" w:line="240" w:lineRule="auto"/>
              <w:rPr>
                <w:rFonts w:ascii="Aptos" w:eastAsia="Aptos" w:hAnsi="Aptos" w:cs="Aptos"/>
                <w:color w:val="243673"/>
              </w:rPr>
            </w:pPr>
          </w:p>
        </w:tc>
        <w:tc>
          <w:tcPr>
            <w:tcW w:w="992" w:type="dxa"/>
          </w:tcPr>
          <w:p w14:paraId="000000F7" w14:textId="77777777" w:rsidR="00785DC0" w:rsidRDefault="00785DC0">
            <w:pPr>
              <w:widowControl w:val="0"/>
              <w:spacing w:after="0" w:line="240" w:lineRule="auto"/>
              <w:rPr>
                <w:rFonts w:ascii="Aptos" w:eastAsia="Aptos" w:hAnsi="Aptos" w:cs="Aptos"/>
                <w:color w:val="243673"/>
              </w:rPr>
            </w:pPr>
          </w:p>
        </w:tc>
      </w:tr>
      <w:tr w:rsidR="00785DC0" w14:paraId="1CC86FC4" w14:textId="77777777">
        <w:tc>
          <w:tcPr>
            <w:tcW w:w="6520" w:type="dxa"/>
            <w:tcBorders>
              <w:bottom w:val="single" w:sz="4" w:space="0" w:color="000000"/>
            </w:tcBorders>
          </w:tcPr>
          <w:p w14:paraId="000000F8"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deliver a fluent, well-timed, rhetorically effective oral presentation to an academic audience, deploying appropriate academic discourse markers, audience engagement strategies, and disciplinary terminology with full control. </w:t>
            </w:r>
          </w:p>
        </w:tc>
        <w:tc>
          <w:tcPr>
            <w:tcW w:w="850" w:type="dxa"/>
          </w:tcPr>
          <w:p w14:paraId="000000F9" w14:textId="77777777" w:rsidR="00785DC0" w:rsidRDefault="00785DC0">
            <w:pPr>
              <w:widowControl w:val="0"/>
              <w:spacing w:after="0" w:line="240" w:lineRule="auto"/>
              <w:rPr>
                <w:rFonts w:ascii="Aptos" w:eastAsia="Aptos" w:hAnsi="Aptos" w:cs="Aptos"/>
                <w:color w:val="243673"/>
              </w:rPr>
            </w:pPr>
          </w:p>
        </w:tc>
        <w:tc>
          <w:tcPr>
            <w:tcW w:w="1276" w:type="dxa"/>
          </w:tcPr>
          <w:p w14:paraId="000000FA" w14:textId="77777777" w:rsidR="00785DC0" w:rsidRDefault="00785DC0">
            <w:pPr>
              <w:widowControl w:val="0"/>
              <w:spacing w:after="0" w:line="240" w:lineRule="auto"/>
              <w:rPr>
                <w:rFonts w:ascii="Aptos" w:eastAsia="Aptos" w:hAnsi="Aptos" w:cs="Aptos"/>
                <w:color w:val="243673"/>
              </w:rPr>
            </w:pPr>
          </w:p>
        </w:tc>
        <w:tc>
          <w:tcPr>
            <w:tcW w:w="992" w:type="dxa"/>
          </w:tcPr>
          <w:p w14:paraId="000000FB" w14:textId="77777777" w:rsidR="00785DC0" w:rsidRDefault="00785DC0">
            <w:pPr>
              <w:widowControl w:val="0"/>
              <w:spacing w:after="0" w:line="240" w:lineRule="auto"/>
              <w:rPr>
                <w:rFonts w:ascii="Aptos" w:eastAsia="Aptos" w:hAnsi="Aptos" w:cs="Aptos"/>
                <w:color w:val="243673"/>
              </w:rPr>
            </w:pPr>
          </w:p>
        </w:tc>
      </w:tr>
      <w:tr w:rsidR="00785DC0" w14:paraId="50746B00" w14:textId="77777777">
        <w:tc>
          <w:tcPr>
            <w:tcW w:w="6520" w:type="dxa"/>
            <w:tcBorders>
              <w:bottom w:val="single" w:sz="4" w:space="0" w:color="000000"/>
            </w:tcBorders>
          </w:tcPr>
          <w:p w14:paraId="000000FC" w14:textId="77777777" w:rsidR="00785DC0" w:rsidRDefault="00000000">
            <w:pPr>
              <w:widowControl w:val="0"/>
              <w:spacing w:after="0" w:line="240" w:lineRule="auto"/>
              <w:rPr>
                <w:rFonts w:ascii="Aptos" w:eastAsia="Aptos" w:hAnsi="Aptos" w:cs="Aptos"/>
                <w:color w:val="243673"/>
              </w:rPr>
            </w:pPr>
            <w:r>
              <w:rPr>
                <w:rFonts w:ascii="Arial" w:eastAsia="Arial" w:hAnsi="Arial" w:cs="Arial"/>
                <w:color w:val="243673"/>
              </w:rPr>
              <w:t>Can participate spontaneously and with scholarly authority in academic discussion, responding to complex questions, building on interlocutors’ points, defending positions, and conceding where appropriate.</w:t>
            </w:r>
          </w:p>
        </w:tc>
        <w:tc>
          <w:tcPr>
            <w:tcW w:w="850" w:type="dxa"/>
          </w:tcPr>
          <w:p w14:paraId="000000FD" w14:textId="77777777" w:rsidR="00785DC0" w:rsidRDefault="00785DC0">
            <w:pPr>
              <w:widowControl w:val="0"/>
              <w:spacing w:after="0" w:line="240" w:lineRule="auto"/>
              <w:rPr>
                <w:rFonts w:ascii="Aptos" w:eastAsia="Aptos" w:hAnsi="Aptos" w:cs="Aptos"/>
                <w:color w:val="243673"/>
              </w:rPr>
            </w:pPr>
          </w:p>
        </w:tc>
        <w:tc>
          <w:tcPr>
            <w:tcW w:w="1276" w:type="dxa"/>
          </w:tcPr>
          <w:p w14:paraId="000000FE" w14:textId="77777777" w:rsidR="00785DC0" w:rsidRDefault="00785DC0">
            <w:pPr>
              <w:widowControl w:val="0"/>
              <w:spacing w:after="0" w:line="240" w:lineRule="auto"/>
              <w:rPr>
                <w:rFonts w:ascii="Aptos" w:eastAsia="Aptos" w:hAnsi="Aptos" w:cs="Aptos"/>
                <w:color w:val="243673"/>
              </w:rPr>
            </w:pPr>
          </w:p>
        </w:tc>
        <w:tc>
          <w:tcPr>
            <w:tcW w:w="992" w:type="dxa"/>
          </w:tcPr>
          <w:p w14:paraId="000000FF" w14:textId="77777777" w:rsidR="00785DC0" w:rsidRDefault="00785DC0">
            <w:pPr>
              <w:widowControl w:val="0"/>
              <w:spacing w:after="0" w:line="240" w:lineRule="auto"/>
              <w:rPr>
                <w:rFonts w:ascii="Aptos" w:eastAsia="Aptos" w:hAnsi="Aptos" w:cs="Aptos"/>
                <w:color w:val="243673"/>
              </w:rPr>
            </w:pPr>
          </w:p>
        </w:tc>
      </w:tr>
      <w:tr w:rsidR="00785DC0" w14:paraId="1D39ACB4" w14:textId="77777777">
        <w:tc>
          <w:tcPr>
            <w:tcW w:w="6520" w:type="dxa"/>
            <w:tcBorders>
              <w:bottom w:val="single" w:sz="4" w:space="0" w:color="000000"/>
            </w:tcBorders>
          </w:tcPr>
          <w:p w14:paraId="00000100"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chair or contribute to a seminar or panel discussion on a research topic, regulating turn-taking, reformulating, and </w:t>
            </w:r>
            <w:proofErr w:type="spellStart"/>
            <w:r>
              <w:rPr>
                <w:rFonts w:ascii="Aptos" w:eastAsia="Aptos" w:hAnsi="Aptos" w:cs="Aptos"/>
                <w:color w:val="243673"/>
              </w:rPr>
              <w:t>synthesising</w:t>
            </w:r>
            <w:proofErr w:type="spellEnd"/>
            <w:r>
              <w:rPr>
                <w:rFonts w:ascii="Aptos" w:eastAsia="Aptos" w:hAnsi="Aptos" w:cs="Aptos"/>
                <w:color w:val="243673"/>
              </w:rPr>
              <w:t xml:space="preserve"> contributions from multiple participants. </w:t>
            </w:r>
          </w:p>
        </w:tc>
        <w:tc>
          <w:tcPr>
            <w:tcW w:w="850" w:type="dxa"/>
            <w:tcBorders>
              <w:bottom w:val="single" w:sz="4" w:space="0" w:color="000000"/>
            </w:tcBorders>
          </w:tcPr>
          <w:p w14:paraId="00000101" w14:textId="77777777" w:rsidR="00785DC0" w:rsidRDefault="00785DC0">
            <w:pPr>
              <w:widowControl w:val="0"/>
              <w:spacing w:after="0" w:line="240" w:lineRule="auto"/>
              <w:rPr>
                <w:rFonts w:ascii="Aptos" w:eastAsia="Aptos" w:hAnsi="Aptos" w:cs="Aptos"/>
                <w:color w:val="243673"/>
              </w:rPr>
            </w:pPr>
          </w:p>
        </w:tc>
        <w:tc>
          <w:tcPr>
            <w:tcW w:w="1276" w:type="dxa"/>
            <w:tcBorders>
              <w:bottom w:val="single" w:sz="4" w:space="0" w:color="000000"/>
            </w:tcBorders>
          </w:tcPr>
          <w:p w14:paraId="00000102" w14:textId="77777777" w:rsidR="00785DC0" w:rsidRDefault="00785DC0">
            <w:pPr>
              <w:widowControl w:val="0"/>
              <w:spacing w:after="0" w:line="240" w:lineRule="auto"/>
              <w:rPr>
                <w:rFonts w:ascii="Aptos" w:eastAsia="Aptos" w:hAnsi="Aptos" w:cs="Aptos"/>
                <w:color w:val="243673"/>
              </w:rPr>
            </w:pPr>
          </w:p>
        </w:tc>
        <w:tc>
          <w:tcPr>
            <w:tcW w:w="992" w:type="dxa"/>
            <w:tcBorders>
              <w:bottom w:val="single" w:sz="4" w:space="0" w:color="000000"/>
            </w:tcBorders>
          </w:tcPr>
          <w:p w14:paraId="00000103" w14:textId="77777777" w:rsidR="00785DC0" w:rsidRDefault="00785DC0">
            <w:pPr>
              <w:widowControl w:val="0"/>
              <w:spacing w:after="0" w:line="240" w:lineRule="auto"/>
              <w:rPr>
                <w:rFonts w:ascii="Aptos" w:eastAsia="Aptos" w:hAnsi="Aptos" w:cs="Aptos"/>
                <w:color w:val="243673"/>
              </w:rPr>
            </w:pPr>
          </w:p>
        </w:tc>
      </w:tr>
      <w:tr w:rsidR="00785DC0" w14:paraId="48A336BA" w14:textId="77777777">
        <w:trPr>
          <w:trHeight w:val="420"/>
        </w:trPr>
        <w:tc>
          <w:tcPr>
            <w:tcW w:w="6520" w:type="dxa"/>
            <w:shd w:val="clear" w:color="auto" w:fill="243673"/>
          </w:tcPr>
          <w:p w14:paraId="00000104" w14:textId="77777777" w:rsidR="00785DC0" w:rsidRDefault="00000000">
            <w:pPr>
              <w:widowControl w:val="0"/>
              <w:spacing w:after="0" w:line="240" w:lineRule="auto"/>
              <w:rPr>
                <w:rFonts w:ascii="Aptos" w:eastAsia="Aptos" w:hAnsi="Aptos" w:cs="Aptos"/>
                <w:b/>
                <w:bCs/>
                <w:color w:val="FFFFFF"/>
              </w:rPr>
            </w:pPr>
            <w:r>
              <w:rPr>
                <w:rFonts w:ascii="Aptos" w:eastAsia="Aptos" w:hAnsi="Aptos" w:cs="Aptos"/>
                <w:b/>
                <w:bCs/>
                <w:color w:val="FFFFFF"/>
              </w:rPr>
              <w:t>Communicative competences</w:t>
            </w:r>
          </w:p>
        </w:tc>
        <w:tc>
          <w:tcPr>
            <w:tcW w:w="850" w:type="dxa"/>
            <w:shd w:val="clear" w:color="auto" w:fill="243673"/>
          </w:tcPr>
          <w:p w14:paraId="00000105" w14:textId="77777777" w:rsidR="00785DC0" w:rsidRDefault="00000000">
            <w:pPr>
              <w:widowControl w:val="0"/>
              <w:spacing w:after="0" w:line="240" w:lineRule="auto"/>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00000106" w14:textId="77777777" w:rsidR="00785DC0" w:rsidRDefault="00000000">
            <w:pPr>
              <w:widowControl w:val="0"/>
              <w:spacing w:after="0" w:line="240" w:lineRule="auto"/>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00000107" w14:textId="77777777" w:rsidR="00785DC0" w:rsidRDefault="00000000">
            <w:pPr>
              <w:widowControl w:val="0"/>
              <w:spacing w:after="0" w:line="240" w:lineRule="auto"/>
              <w:rPr>
                <w:rFonts w:ascii="Aptos" w:eastAsia="Aptos" w:hAnsi="Aptos" w:cs="Aptos"/>
                <w:color w:val="FFFFFF"/>
              </w:rPr>
            </w:pPr>
            <w:r>
              <w:rPr>
                <w:rFonts w:ascii="Aptos" w:eastAsia="Aptos" w:hAnsi="Aptos" w:cs="Aptos"/>
                <w:b/>
                <w:bCs/>
                <w:color w:val="FFFFFF"/>
              </w:rPr>
              <w:t>not yet</w:t>
            </w:r>
          </w:p>
        </w:tc>
      </w:tr>
      <w:tr w:rsidR="00785DC0" w14:paraId="38776665" w14:textId="77777777">
        <w:tc>
          <w:tcPr>
            <w:tcW w:w="6520" w:type="dxa"/>
          </w:tcPr>
          <w:p w14:paraId="00000108" w14:textId="77777777" w:rsidR="00785DC0"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Has complete command of a broad academic and disciplinary lexicon, deploying technical terminology with full precision and appropriacy; can distinguish between </w:t>
            </w:r>
            <w:proofErr w:type="gramStart"/>
            <w:r>
              <w:rPr>
                <w:rFonts w:ascii="Aptos" w:eastAsia="Aptos" w:hAnsi="Aptos" w:cs="Aptos"/>
                <w:color w:val="243673"/>
              </w:rPr>
              <w:t>near-synonyms</w:t>
            </w:r>
            <w:proofErr w:type="gramEnd"/>
            <w:r>
              <w:rPr>
                <w:rFonts w:ascii="Aptos" w:eastAsia="Aptos" w:hAnsi="Aptos" w:cs="Aptos"/>
                <w:color w:val="243673"/>
              </w:rPr>
              <w:t xml:space="preserve"> with subtle semantic and register differences. </w:t>
            </w:r>
          </w:p>
        </w:tc>
        <w:tc>
          <w:tcPr>
            <w:tcW w:w="850" w:type="dxa"/>
          </w:tcPr>
          <w:p w14:paraId="00000109" w14:textId="77777777" w:rsidR="00785DC0" w:rsidRDefault="00785DC0">
            <w:pPr>
              <w:widowControl w:val="0"/>
              <w:spacing w:after="0" w:line="240" w:lineRule="auto"/>
              <w:rPr>
                <w:rFonts w:ascii="Aptos" w:eastAsia="Aptos" w:hAnsi="Aptos" w:cs="Aptos"/>
                <w:b/>
                <w:bCs/>
                <w:color w:val="243673"/>
              </w:rPr>
            </w:pPr>
          </w:p>
        </w:tc>
        <w:tc>
          <w:tcPr>
            <w:tcW w:w="1276" w:type="dxa"/>
          </w:tcPr>
          <w:p w14:paraId="0000010A" w14:textId="77777777" w:rsidR="00785DC0" w:rsidRDefault="00785DC0">
            <w:pPr>
              <w:widowControl w:val="0"/>
              <w:spacing w:after="0" w:line="240" w:lineRule="auto"/>
              <w:rPr>
                <w:rFonts w:ascii="Aptos" w:eastAsia="Aptos" w:hAnsi="Aptos" w:cs="Aptos"/>
                <w:b/>
                <w:bCs/>
                <w:color w:val="243673"/>
              </w:rPr>
            </w:pPr>
          </w:p>
        </w:tc>
        <w:tc>
          <w:tcPr>
            <w:tcW w:w="992" w:type="dxa"/>
          </w:tcPr>
          <w:p w14:paraId="0000010B" w14:textId="77777777" w:rsidR="00785DC0" w:rsidRDefault="00785DC0">
            <w:pPr>
              <w:widowControl w:val="0"/>
              <w:spacing w:after="0" w:line="240" w:lineRule="auto"/>
              <w:rPr>
                <w:rFonts w:ascii="Aptos" w:eastAsia="Aptos" w:hAnsi="Aptos" w:cs="Aptos"/>
                <w:b/>
                <w:bCs/>
                <w:color w:val="243673"/>
              </w:rPr>
            </w:pPr>
          </w:p>
        </w:tc>
      </w:tr>
      <w:tr w:rsidR="00785DC0" w14:paraId="57A00EF3" w14:textId="77777777">
        <w:tc>
          <w:tcPr>
            <w:tcW w:w="6520" w:type="dxa"/>
          </w:tcPr>
          <w:p w14:paraId="0000010C" w14:textId="77777777" w:rsidR="00785DC0"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rial" w:eastAsia="Arial" w:hAnsi="Arial" w:cs="Arial"/>
                <w:color w:val="243673"/>
              </w:rPr>
              <w:t xml:space="preserve">Can construct multi-step arguments that integrate evidence, critical engagement with the literature, and original analytical contribution, using a range of rhetorical strategies including concession-refutation, exemplification, and analogy. </w:t>
            </w:r>
          </w:p>
        </w:tc>
        <w:tc>
          <w:tcPr>
            <w:tcW w:w="850" w:type="dxa"/>
          </w:tcPr>
          <w:p w14:paraId="0000010D" w14:textId="77777777" w:rsidR="00785DC0" w:rsidRDefault="00785DC0">
            <w:pPr>
              <w:widowControl w:val="0"/>
              <w:spacing w:after="0" w:line="240" w:lineRule="auto"/>
              <w:rPr>
                <w:rFonts w:ascii="Aptos" w:eastAsia="Aptos" w:hAnsi="Aptos" w:cs="Aptos"/>
                <w:b/>
                <w:bCs/>
                <w:color w:val="243673"/>
              </w:rPr>
            </w:pPr>
          </w:p>
        </w:tc>
        <w:tc>
          <w:tcPr>
            <w:tcW w:w="1276" w:type="dxa"/>
          </w:tcPr>
          <w:p w14:paraId="0000010E" w14:textId="77777777" w:rsidR="00785DC0" w:rsidRDefault="00785DC0">
            <w:pPr>
              <w:widowControl w:val="0"/>
              <w:spacing w:after="0" w:line="240" w:lineRule="auto"/>
              <w:rPr>
                <w:rFonts w:ascii="Aptos" w:eastAsia="Aptos" w:hAnsi="Aptos" w:cs="Aptos"/>
                <w:b/>
                <w:bCs/>
                <w:color w:val="243673"/>
              </w:rPr>
            </w:pPr>
          </w:p>
        </w:tc>
        <w:tc>
          <w:tcPr>
            <w:tcW w:w="992" w:type="dxa"/>
          </w:tcPr>
          <w:p w14:paraId="0000010F" w14:textId="77777777" w:rsidR="00785DC0" w:rsidRDefault="00785DC0">
            <w:pPr>
              <w:widowControl w:val="0"/>
              <w:spacing w:after="0" w:line="240" w:lineRule="auto"/>
              <w:rPr>
                <w:rFonts w:ascii="Aptos" w:eastAsia="Aptos" w:hAnsi="Aptos" w:cs="Aptos"/>
                <w:b/>
                <w:bCs/>
                <w:color w:val="243673"/>
              </w:rPr>
            </w:pPr>
          </w:p>
        </w:tc>
      </w:tr>
      <w:tr w:rsidR="00785DC0" w14:paraId="326A6D73" w14:textId="77777777">
        <w:tc>
          <w:tcPr>
            <w:tcW w:w="6520" w:type="dxa"/>
            <w:shd w:val="clear" w:color="auto" w:fill="243673"/>
          </w:tcPr>
          <w:p w14:paraId="00000110" w14:textId="77777777" w:rsidR="00785DC0" w:rsidRDefault="00000000">
            <w:pPr>
              <w:widowControl w:val="0"/>
              <w:rPr>
                <w:rFonts w:ascii="Aptos" w:eastAsia="Aptos" w:hAnsi="Aptos" w:cs="Aptos"/>
                <w:color w:val="FFFFFF"/>
              </w:rPr>
            </w:pPr>
            <w:r>
              <w:rPr>
                <w:rFonts w:ascii="Aptos" w:eastAsia="Aptos" w:hAnsi="Aptos" w:cs="Aptos"/>
                <w:b/>
                <w:bCs/>
                <w:color w:val="FFFFFF"/>
              </w:rPr>
              <w:t>Plurilingual and pluricultural competences</w:t>
            </w:r>
          </w:p>
        </w:tc>
        <w:tc>
          <w:tcPr>
            <w:tcW w:w="850" w:type="dxa"/>
            <w:shd w:val="clear" w:color="auto" w:fill="243673"/>
          </w:tcPr>
          <w:p w14:paraId="00000111" w14:textId="77777777" w:rsidR="00785DC0" w:rsidRDefault="00000000">
            <w:pPr>
              <w:widowControl w:val="0"/>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00000112" w14:textId="77777777" w:rsidR="00785DC0" w:rsidRDefault="00000000">
            <w:pPr>
              <w:widowControl w:val="0"/>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00000113" w14:textId="77777777" w:rsidR="00785DC0" w:rsidRDefault="00000000">
            <w:pPr>
              <w:widowControl w:val="0"/>
              <w:rPr>
                <w:rFonts w:ascii="Aptos" w:eastAsia="Aptos" w:hAnsi="Aptos" w:cs="Aptos"/>
                <w:color w:val="FFFFFF"/>
              </w:rPr>
            </w:pPr>
            <w:r>
              <w:rPr>
                <w:rFonts w:ascii="Aptos" w:eastAsia="Aptos" w:hAnsi="Aptos" w:cs="Aptos"/>
                <w:b/>
                <w:bCs/>
                <w:color w:val="FFFFFF"/>
              </w:rPr>
              <w:t>not yet</w:t>
            </w:r>
          </w:p>
        </w:tc>
      </w:tr>
      <w:tr w:rsidR="00785DC0" w14:paraId="37F5A134" w14:textId="77777777">
        <w:tc>
          <w:tcPr>
            <w:tcW w:w="6520" w:type="dxa"/>
          </w:tcPr>
          <w:p w14:paraId="00000114" w14:textId="77777777" w:rsidR="00785DC0" w:rsidRDefault="00000000">
            <w:pPr>
              <w:widowControl w:val="0"/>
              <w:spacing w:after="0" w:line="240" w:lineRule="auto"/>
              <w:rPr>
                <w:rFonts w:ascii="Aptos" w:eastAsia="Aptos" w:hAnsi="Aptos" w:cs="Aptos"/>
                <w:color w:val="243673"/>
              </w:rPr>
            </w:pPr>
            <w:r>
              <w:rPr>
                <w:rFonts w:ascii="Arial" w:eastAsia="Arial" w:hAnsi="Arial" w:cs="Arial"/>
                <w:color w:val="243673"/>
              </w:rPr>
              <w:t xml:space="preserve">Can draw on scholarly conventions, argumentative traditions, or theoretical frameworks from non-Anglophone academic cultures in their own </w:t>
            </w:r>
            <w:proofErr w:type="gramStart"/>
            <w:r>
              <w:rPr>
                <w:rFonts w:ascii="Arial" w:eastAsia="Arial" w:hAnsi="Arial" w:cs="Arial"/>
                <w:color w:val="243673"/>
              </w:rPr>
              <w:t>field, and</w:t>
            </w:r>
            <w:proofErr w:type="gramEnd"/>
            <w:r>
              <w:rPr>
                <w:rFonts w:ascii="Arial" w:eastAsia="Arial" w:hAnsi="Arial" w:cs="Arial"/>
                <w:color w:val="243673"/>
              </w:rPr>
              <w:t xml:space="preserve"> mediate these into English-language academic writing in a way that is both intellectually enriching and rhetorically coherent. </w:t>
            </w:r>
          </w:p>
        </w:tc>
        <w:tc>
          <w:tcPr>
            <w:tcW w:w="850" w:type="dxa"/>
          </w:tcPr>
          <w:p w14:paraId="00000115" w14:textId="77777777" w:rsidR="00785DC0" w:rsidRDefault="00785DC0">
            <w:pPr>
              <w:widowControl w:val="0"/>
              <w:spacing w:after="0" w:line="240" w:lineRule="auto"/>
              <w:rPr>
                <w:rFonts w:ascii="Aptos" w:eastAsia="Aptos" w:hAnsi="Aptos" w:cs="Aptos"/>
                <w:color w:val="243673"/>
              </w:rPr>
            </w:pPr>
          </w:p>
        </w:tc>
        <w:tc>
          <w:tcPr>
            <w:tcW w:w="1276" w:type="dxa"/>
          </w:tcPr>
          <w:p w14:paraId="00000116" w14:textId="77777777" w:rsidR="00785DC0" w:rsidRDefault="00785DC0">
            <w:pPr>
              <w:widowControl w:val="0"/>
              <w:spacing w:after="0" w:line="240" w:lineRule="auto"/>
              <w:rPr>
                <w:rFonts w:ascii="Aptos" w:eastAsia="Aptos" w:hAnsi="Aptos" w:cs="Aptos"/>
                <w:color w:val="243673"/>
              </w:rPr>
            </w:pPr>
          </w:p>
        </w:tc>
        <w:tc>
          <w:tcPr>
            <w:tcW w:w="992" w:type="dxa"/>
          </w:tcPr>
          <w:p w14:paraId="00000117" w14:textId="77777777" w:rsidR="00785DC0" w:rsidRDefault="00785DC0">
            <w:pPr>
              <w:widowControl w:val="0"/>
              <w:spacing w:after="0" w:line="240" w:lineRule="auto"/>
              <w:rPr>
                <w:rFonts w:ascii="Aptos" w:eastAsia="Aptos" w:hAnsi="Aptos" w:cs="Aptos"/>
                <w:color w:val="243673"/>
              </w:rPr>
            </w:pPr>
          </w:p>
        </w:tc>
      </w:tr>
      <w:tr w:rsidR="00785DC0" w14:paraId="65362C38" w14:textId="77777777">
        <w:tc>
          <w:tcPr>
            <w:tcW w:w="6520" w:type="dxa"/>
          </w:tcPr>
          <w:p w14:paraId="00000118" w14:textId="77777777" w:rsidR="00785DC0" w:rsidRDefault="00000000">
            <w:pPr>
              <w:widowControl w:val="0"/>
              <w:spacing w:after="0" w:line="240" w:lineRule="auto"/>
              <w:rPr>
                <w:rFonts w:ascii="Aptos" w:eastAsia="Aptos" w:hAnsi="Aptos" w:cs="Aptos"/>
                <w:color w:val="243673"/>
              </w:rPr>
            </w:pPr>
            <w:r>
              <w:rPr>
                <w:rFonts w:ascii="Arial" w:eastAsia="Arial" w:hAnsi="Arial" w:cs="Arial"/>
                <w:color w:val="243673"/>
              </w:rPr>
              <w:t>Can produce elements of their communication plan (e.g., a parallel abstract, a key concept gloss, or a positioning statement) in a language other than English where this adds substantive value for a target audience.</w:t>
            </w:r>
          </w:p>
        </w:tc>
        <w:tc>
          <w:tcPr>
            <w:tcW w:w="850" w:type="dxa"/>
          </w:tcPr>
          <w:p w14:paraId="00000119" w14:textId="77777777" w:rsidR="00785DC0" w:rsidRDefault="00785DC0">
            <w:pPr>
              <w:widowControl w:val="0"/>
              <w:spacing w:after="0" w:line="240" w:lineRule="auto"/>
              <w:rPr>
                <w:rFonts w:ascii="Aptos" w:eastAsia="Aptos" w:hAnsi="Aptos" w:cs="Aptos"/>
                <w:color w:val="243673"/>
              </w:rPr>
            </w:pPr>
          </w:p>
        </w:tc>
        <w:tc>
          <w:tcPr>
            <w:tcW w:w="1276" w:type="dxa"/>
          </w:tcPr>
          <w:p w14:paraId="0000011A" w14:textId="77777777" w:rsidR="00785DC0" w:rsidRDefault="00785DC0">
            <w:pPr>
              <w:widowControl w:val="0"/>
              <w:spacing w:after="0" w:line="240" w:lineRule="auto"/>
              <w:rPr>
                <w:rFonts w:ascii="Aptos" w:eastAsia="Aptos" w:hAnsi="Aptos" w:cs="Aptos"/>
                <w:color w:val="243673"/>
              </w:rPr>
            </w:pPr>
          </w:p>
        </w:tc>
        <w:tc>
          <w:tcPr>
            <w:tcW w:w="992" w:type="dxa"/>
          </w:tcPr>
          <w:p w14:paraId="0000011B" w14:textId="77777777" w:rsidR="00785DC0" w:rsidRDefault="00785DC0">
            <w:pPr>
              <w:widowControl w:val="0"/>
              <w:spacing w:after="0" w:line="240" w:lineRule="auto"/>
              <w:rPr>
                <w:rFonts w:ascii="Aptos" w:eastAsia="Aptos" w:hAnsi="Aptos" w:cs="Aptos"/>
                <w:color w:val="243673"/>
              </w:rPr>
            </w:pPr>
          </w:p>
        </w:tc>
      </w:tr>
      <w:tr w:rsidR="00785DC0" w14:paraId="6A4B427F" w14:textId="77777777">
        <w:tc>
          <w:tcPr>
            <w:tcW w:w="6520" w:type="dxa"/>
          </w:tcPr>
          <w:p w14:paraId="0000011C"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identify and articulate how the same research finding or argument would be framed differently across different national scholarly traditions, language communities, or disciplinary cultures. </w:t>
            </w:r>
          </w:p>
        </w:tc>
        <w:tc>
          <w:tcPr>
            <w:tcW w:w="850" w:type="dxa"/>
          </w:tcPr>
          <w:p w14:paraId="0000011D" w14:textId="77777777" w:rsidR="00785DC0" w:rsidRDefault="00785DC0">
            <w:pPr>
              <w:widowControl w:val="0"/>
              <w:spacing w:after="0" w:line="240" w:lineRule="auto"/>
              <w:rPr>
                <w:rFonts w:ascii="Aptos" w:eastAsia="Aptos" w:hAnsi="Aptos" w:cs="Aptos"/>
                <w:color w:val="243673"/>
              </w:rPr>
            </w:pPr>
          </w:p>
        </w:tc>
        <w:tc>
          <w:tcPr>
            <w:tcW w:w="1276" w:type="dxa"/>
          </w:tcPr>
          <w:p w14:paraId="0000011E" w14:textId="77777777" w:rsidR="00785DC0" w:rsidRDefault="00785DC0">
            <w:pPr>
              <w:widowControl w:val="0"/>
              <w:spacing w:after="0" w:line="240" w:lineRule="auto"/>
              <w:rPr>
                <w:rFonts w:ascii="Aptos" w:eastAsia="Aptos" w:hAnsi="Aptos" w:cs="Aptos"/>
                <w:color w:val="243673"/>
              </w:rPr>
            </w:pPr>
          </w:p>
        </w:tc>
        <w:tc>
          <w:tcPr>
            <w:tcW w:w="992" w:type="dxa"/>
          </w:tcPr>
          <w:p w14:paraId="0000011F" w14:textId="77777777" w:rsidR="00785DC0" w:rsidRDefault="00785DC0">
            <w:pPr>
              <w:widowControl w:val="0"/>
              <w:spacing w:after="0" w:line="240" w:lineRule="auto"/>
              <w:rPr>
                <w:rFonts w:ascii="Aptos" w:eastAsia="Aptos" w:hAnsi="Aptos" w:cs="Aptos"/>
                <w:color w:val="243673"/>
              </w:rPr>
            </w:pPr>
          </w:p>
        </w:tc>
      </w:tr>
      <w:tr w:rsidR="00785DC0" w14:paraId="64430064" w14:textId="77777777">
        <w:tc>
          <w:tcPr>
            <w:tcW w:w="6520" w:type="dxa"/>
            <w:shd w:val="clear" w:color="auto" w:fill="243673"/>
          </w:tcPr>
          <w:p w14:paraId="00000120" w14:textId="77777777" w:rsidR="00785DC0" w:rsidRDefault="00000000">
            <w:pPr>
              <w:widowControl w:val="0"/>
              <w:rPr>
                <w:rFonts w:ascii="Aptos" w:eastAsia="Aptos" w:hAnsi="Aptos" w:cs="Aptos"/>
                <w:color w:val="FFFFFF"/>
              </w:rPr>
            </w:pPr>
            <w:r>
              <w:rPr>
                <w:rFonts w:ascii="Aptos" w:eastAsia="Aptos" w:hAnsi="Aptos" w:cs="Aptos"/>
                <w:b/>
                <w:bCs/>
                <w:color w:val="FFFFFF"/>
              </w:rPr>
              <w:t>Strategies</w:t>
            </w:r>
          </w:p>
        </w:tc>
        <w:tc>
          <w:tcPr>
            <w:tcW w:w="850" w:type="dxa"/>
            <w:shd w:val="clear" w:color="auto" w:fill="243673"/>
          </w:tcPr>
          <w:p w14:paraId="00000121" w14:textId="77777777" w:rsidR="00785DC0" w:rsidRDefault="00000000">
            <w:pPr>
              <w:widowControl w:val="0"/>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00000122" w14:textId="77777777" w:rsidR="00785DC0" w:rsidRDefault="00000000">
            <w:pPr>
              <w:widowControl w:val="0"/>
              <w:rPr>
                <w:rFonts w:ascii="Aptos" w:eastAsia="Aptos" w:hAnsi="Aptos" w:cs="Aptos"/>
                <w:color w:val="FFFFFF"/>
              </w:rPr>
            </w:pPr>
            <w:r>
              <w:rPr>
                <w:rFonts w:ascii="Aptos" w:eastAsia="Aptos" w:hAnsi="Aptos" w:cs="Aptos"/>
                <w:b/>
                <w:bCs/>
                <w:color w:val="FFFFFF"/>
              </w:rPr>
              <w:t>with help</w:t>
            </w:r>
          </w:p>
        </w:tc>
        <w:tc>
          <w:tcPr>
            <w:tcW w:w="992" w:type="dxa"/>
            <w:shd w:val="clear" w:color="auto" w:fill="243673"/>
          </w:tcPr>
          <w:p w14:paraId="00000123" w14:textId="77777777" w:rsidR="00785DC0" w:rsidRDefault="00000000">
            <w:pPr>
              <w:widowControl w:val="0"/>
              <w:rPr>
                <w:rFonts w:ascii="Aptos" w:eastAsia="Aptos" w:hAnsi="Aptos" w:cs="Aptos"/>
                <w:color w:val="FFFFFF"/>
              </w:rPr>
            </w:pPr>
            <w:r>
              <w:rPr>
                <w:rFonts w:ascii="Aptos" w:eastAsia="Aptos" w:hAnsi="Aptos" w:cs="Aptos"/>
                <w:b/>
                <w:bCs/>
                <w:color w:val="FFFFFF"/>
              </w:rPr>
              <w:t>not yet</w:t>
            </w:r>
          </w:p>
        </w:tc>
      </w:tr>
      <w:tr w:rsidR="00785DC0" w14:paraId="7972D8A3" w14:textId="77777777">
        <w:tc>
          <w:tcPr>
            <w:tcW w:w="6520" w:type="dxa"/>
            <w:shd w:val="clear" w:color="auto" w:fill="243673"/>
          </w:tcPr>
          <w:p w14:paraId="00000124" w14:textId="77777777" w:rsidR="00785DC0" w:rsidRDefault="00000000">
            <w:pPr>
              <w:widowControl w:val="0"/>
              <w:rPr>
                <w:rFonts w:ascii="Aptos" w:eastAsia="Aptos" w:hAnsi="Aptos" w:cs="Aptos"/>
                <w:color w:val="FFFFFF"/>
              </w:rPr>
            </w:pPr>
            <w:r>
              <w:rPr>
                <w:rFonts w:ascii="Aptos" w:eastAsia="Aptos" w:hAnsi="Aptos" w:cs="Aptos"/>
                <w:b/>
                <w:bCs/>
                <w:color w:val="FFFFFF"/>
              </w:rPr>
              <w:t>Reception Strategies</w:t>
            </w:r>
          </w:p>
        </w:tc>
        <w:tc>
          <w:tcPr>
            <w:tcW w:w="850" w:type="dxa"/>
            <w:shd w:val="clear" w:color="auto" w:fill="243673"/>
          </w:tcPr>
          <w:p w14:paraId="00000125" w14:textId="77777777" w:rsidR="00785DC0" w:rsidRDefault="00785DC0">
            <w:pPr>
              <w:widowControl w:val="0"/>
              <w:rPr>
                <w:rFonts w:ascii="Aptos" w:eastAsia="Aptos" w:hAnsi="Aptos" w:cs="Aptos"/>
                <w:color w:val="FFFFFF"/>
              </w:rPr>
            </w:pPr>
          </w:p>
        </w:tc>
        <w:tc>
          <w:tcPr>
            <w:tcW w:w="1276" w:type="dxa"/>
            <w:shd w:val="clear" w:color="auto" w:fill="243673"/>
          </w:tcPr>
          <w:p w14:paraId="00000126" w14:textId="77777777" w:rsidR="00785DC0" w:rsidRDefault="00785DC0">
            <w:pPr>
              <w:widowControl w:val="0"/>
              <w:rPr>
                <w:rFonts w:ascii="Aptos" w:eastAsia="Aptos" w:hAnsi="Aptos" w:cs="Aptos"/>
                <w:color w:val="FFFFFF"/>
              </w:rPr>
            </w:pPr>
          </w:p>
        </w:tc>
        <w:tc>
          <w:tcPr>
            <w:tcW w:w="992" w:type="dxa"/>
            <w:shd w:val="clear" w:color="auto" w:fill="243673"/>
          </w:tcPr>
          <w:p w14:paraId="00000127" w14:textId="77777777" w:rsidR="00785DC0" w:rsidRDefault="00785DC0">
            <w:pPr>
              <w:widowControl w:val="0"/>
              <w:rPr>
                <w:rFonts w:ascii="Aptos" w:eastAsia="Aptos" w:hAnsi="Aptos" w:cs="Aptos"/>
                <w:color w:val="FFFFFF"/>
              </w:rPr>
            </w:pPr>
          </w:p>
        </w:tc>
      </w:tr>
      <w:tr w:rsidR="00785DC0" w14:paraId="45EDDD06" w14:textId="77777777">
        <w:tc>
          <w:tcPr>
            <w:tcW w:w="6520" w:type="dxa"/>
          </w:tcPr>
          <w:p w14:paraId="00000128"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Is skilled at using contextual, grammatical and lexical cues to infer attitude, mood and intentions and anticipate what will come next in complex academic discourse and Q&amp;A. </w:t>
            </w:r>
          </w:p>
        </w:tc>
        <w:tc>
          <w:tcPr>
            <w:tcW w:w="850" w:type="dxa"/>
          </w:tcPr>
          <w:p w14:paraId="00000129" w14:textId="77777777" w:rsidR="00785DC0" w:rsidRDefault="00785DC0">
            <w:pPr>
              <w:widowControl w:val="0"/>
              <w:spacing w:after="0" w:line="240" w:lineRule="auto"/>
              <w:rPr>
                <w:rFonts w:ascii="Aptos" w:eastAsia="Aptos" w:hAnsi="Aptos" w:cs="Aptos"/>
                <w:color w:val="243673"/>
              </w:rPr>
            </w:pPr>
          </w:p>
        </w:tc>
        <w:tc>
          <w:tcPr>
            <w:tcW w:w="1276" w:type="dxa"/>
          </w:tcPr>
          <w:p w14:paraId="0000012A" w14:textId="77777777" w:rsidR="00785DC0" w:rsidRDefault="00785DC0">
            <w:pPr>
              <w:widowControl w:val="0"/>
              <w:spacing w:after="0" w:line="240" w:lineRule="auto"/>
              <w:rPr>
                <w:rFonts w:ascii="Aptos" w:eastAsia="Aptos" w:hAnsi="Aptos" w:cs="Aptos"/>
                <w:color w:val="243673"/>
              </w:rPr>
            </w:pPr>
          </w:p>
        </w:tc>
        <w:tc>
          <w:tcPr>
            <w:tcW w:w="992" w:type="dxa"/>
          </w:tcPr>
          <w:p w14:paraId="0000012B" w14:textId="77777777" w:rsidR="00785DC0" w:rsidRDefault="00785DC0">
            <w:pPr>
              <w:widowControl w:val="0"/>
              <w:spacing w:after="0" w:line="240" w:lineRule="auto"/>
              <w:rPr>
                <w:rFonts w:ascii="Aptos" w:eastAsia="Aptos" w:hAnsi="Aptos" w:cs="Aptos"/>
                <w:color w:val="243673"/>
              </w:rPr>
            </w:pPr>
          </w:p>
        </w:tc>
      </w:tr>
      <w:tr w:rsidR="00785DC0" w14:paraId="51451A1A" w14:textId="77777777">
        <w:tc>
          <w:tcPr>
            <w:tcW w:w="6520" w:type="dxa"/>
            <w:shd w:val="clear" w:color="auto" w:fill="243673"/>
          </w:tcPr>
          <w:p w14:paraId="0000012C" w14:textId="77777777" w:rsidR="00785DC0" w:rsidRDefault="00000000">
            <w:pPr>
              <w:widowControl w:val="0"/>
              <w:rPr>
                <w:rFonts w:ascii="Aptos" w:eastAsia="Aptos" w:hAnsi="Aptos" w:cs="Aptos"/>
                <w:color w:val="FFFFFF"/>
              </w:rPr>
            </w:pPr>
            <w:r>
              <w:rPr>
                <w:rFonts w:ascii="Aptos" w:eastAsia="Aptos" w:hAnsi="Aptos" w:cs="Aptos"/>
                <w:b/>
                <w:bCs/>
                <w:color w:val="FFFFFF"/>
              </w:rPr>
              <w:t>Production Strategies</w:t>
            </w:r>
          </w:p>
        </w:tc>
        <w:tc>
          <w:tcPr>
            <w:tcW w:w="850" w:type="dxa"/>
            <w:shd w:val="clear" w:color="auto" w:fill="243673"/>
          </w:tcPr>
          <w:p w14:paraId="0000012D" w14:textId="77777777" w:rsidR="00785DC0" w:rsidRDefault="00785DC0">
            <w:pPr>
              <w:widowControl w:val="0"/>
              <w:rPr>
                <w:rFonts w:ascii="Aptos" w:eastAsia="Aptos" w:hAnsi="Aptos" w:cs="Aptos"/>
                <w:color w:val="FFFFFF"/>
              </w:rPr>
            </w:pPr>
          </w:p>
        </w:tc>
        <w:tc>
          <w:tcPr>
            <w:tcW w:w="1276" w:type="dxa"/>
            <w:shd w:val="clear" w:color="auto" w:fill="243673"/>
          </w:tcPr>
          <w:p w14:paraId="0000012E" w14:textId="77777777" w:rsidR="00785DC0" w:rsidRDefault="00785DC0">
            <w:pPr>
              <w:widowControl w:val="0"/>
              <w:rPr>
                <w:rFonts w:ascii="Aptos" w:eastAsia="Aptos" w:hAnsi="Aptos" w:cs="Aptos"/>
                <w:color w:val="FFFFFF"/>
              </w:rPr>
            </w:pPr>
          </w:p>
        </w:tc>
        <w:tc>
          <w:tcPr>
            <w:tcW w:w="992" w:type="dxa"/>
            <w:shd w:val="clear" w:color="auto" w:fill="243673"/>
          </w:tcPr>
          <w:p w14:paraId="0000012F" w14:textId="77777777" w:rsidR="00785DC0" w:rsidRDefault="00785DC0">
            <w:pPr>
              <w:widowControl w:val="0"/>
              <w:rPr>
                <w:rFonts w:ascii="Aptos" w:eastAsia="Aptos" w:hAnsi="Aptos" w:cs="Aptos"/>
                <w:color w:val="FFFFFF"/>
              </w:rPr>
            </w:pPr>
          </w:p>
        </w:tc>
      </w:tr>
      <w:tr w:rsidR="00785DC0" w14:paraId="63073900" w14:textId="77777777">
        <w:tc>
          <w:tcPr>
            <w:tcW w:w="6520" w:type="dxa"/>
          </w:tcPr>
          <w:p w14:paraId="00000130" w14:textId="77777777" w:rsidR="00785DC0" w:rsidRDefault="00000000">
            <w:pPr>
              <w:widowControl w:val="0"/>
              <w:spacing w:after="0" w:line="240" w:lineRule="auto"/>
              <w:rPr>
                <w:rFonts w:ascii="Aptos" w:eastAsia="Aptos" w:hAnsi="Aptos" w:cs="Aptos"/>
                <w:color w:val="243673"/>
              </w:rPr>
            </w:pPr>
            <w:r>
              <w:rPr>
                <w:rFonts w:ascii="Arial" w:eastAsia="Arial" w:hAnsi="Arial" w:cs="Arial"/>
                <w:color w:val="243673"/>
              </w:rPr>
              <w:lastRenderedPageBreak/>
              <w:t xml:space="preserve">Can, when preparing a more formal spoken or written text, consciously adopt the conventions linked to the </w:t>
            </w:r>
            <w:proofErr w:type="gramStart"/>
            <w:r>
              <w:rPr>
                <w:rFonts w:ascii="Arial" w:eastAsia="Arial" w:hAnsi="Arial" w:cs="Arial"/>
                <w:color w:val="243673"/>
              </w:rPr>
              <w:t>particular type of text</w:t>
            </w:r>
            <w:proofErr w:type="gramEnd"/>
            <w:r>
              <w:rPr>
                <w:rFonts w:ascii="Arial" w:eastAsia="Arial" w:hAnsi="Arial" w:cs="Arial"/>
                <w:color w:val="243673"/>
              </w:rPr>
              <w:t xml:space="preserve"> concerned across all three genre outputs simultaneously. </w:t>
            </w:r>
          </w:p>
        </w:tc>
        <w:tc>
          <w:tcPr>
            <w:tcW w:w="850" w:type="dxa"/>
          </w:tcPr>
          <w:p w14:paraId="00000131" w14:textId="77777777" w:rsidR="00785DC0" w:rsidRDefault="00785DC0">
            <w:pPr>
              <w:widowControl w:val="0"/>
              <w:spacing w:after="0" w:line="240" w:lineRule="auto"/>
              <w:rPr>
                <w:rFonts w:ascii="Aptos" w:eastAsia="Aptos" w:hAnsi="Aptos" w:cs="Aptos"/>
                <w:color w:val="243673"/>
              </w:rPr>
            </w:pPr>
          </w:p>
        </w:tc>
        <w:tc>
          <w:tcPr>
            <w:tcW w:w="1276" w:type="dxa"/>
          </w:tcPr>
          <w:p w14:paraId="00000132" w14:textId="77777777" w:rsidR="00785DC0" w:rsidRDefault="00785DC0">
            <w:pPr>
              <w:widowControl w:val="0"/>
              <w:spacing w:after="0" w:line="240" w:lineRule="auto"/>
              <w:rPr>
                <w:rFonts w:ascii="Aptos" w:eastAsia="Aptos" w:hAnsi="Aptos" w:cs="Aptos"/>
                <w:color w:val="243673"/>
              </w:rPr>
            </w:pPr>
          </w:p>
        </w:tc>
        <w:tc>
          <w:tcPr>
            <w:tcW w:w="992" w:type="dxa"/>
          </w:tcPr>
          <w:p w14:paraId="00000133" w14:textId="77777777" w:rsidR="00785DC0" w:rsidRDefault="00785DC0">
            <w:pPr>
              <w:widowControl w:val="0"/>
              <w:spacing w:after="0" w:line="240" w:lineRule="auto"/>
              <w:rPr>
                <w:rFonts w:ascii="Aptos" w:eastAsia="Aptos" w:hAnsi="Aptos" w:cs="Aptos"/>
                <w:color w:val="243673"/>
              </w:rPr>
            </w:pPr>
          </w:p>
        </w:tc>
      </w:tr>
      <w:tr w:rsidR="00785DC0" w14:paraId="2722A1DF" w14:textId="77777777">
        <w:tc>
          <w:tcPr>
            <w:tcW w:w="6520" w:type="dxa"/>
          </w:tcPr>
          <w:p w14:paraId="00000134"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substitute an equivalent term or use circumlocution so smoothly that it is scarcely noticeable during oral presentations and real-time Q&amp;A. </w:t>
            </w:r>
          </w:p>
        </w:tc>
        <w:tc>
          <w:tcPr>
            <w:tcW w:w="850" w:type="dxa"/>
          </w:tcPr>
          <w:p w14:paraId="00000135" w14:textId="77777777" w:rsidR="00785DC0" w:rsidRDefault="00785DC0">
            <w:pPr>
              <w:widowControl w:val="0"/>
              <w:spacing w:after="0" w:line="240" w:lineRule="auto"/>
              <w:rPr>
                <w:rFonts w:ascii="Aptos" w:eastAsia="Aptos" w:hAnsi="Aptos" w:cs="Aptos"/>
                <w:color w:val="243673"/>
              </w:rPr>
            </w:pPr>
          </w:p>
        </w:tc>
        <w:tc>
          <w:tcPr>
            <w:tcW w:w="1276" w:type="dxa"/>
          </w:tcPr>
          <w:p w14:paraId="00000136" w14:textId="77777777" w:rsidR="00785DC0" w:rsidRDefault="00785DC0">
            <w:pPr>
              <w:widowControl w:val="0"/>
              <w:spacing w:after="0" w:line="240" w:lineRule="auto"/>
              <w:rPr>
                <w:rFonts w:ascii="Aptos" w:eastAsia="Aptos" w:hAnsi="Aptos" w:cs="Aptos"/>
                <w:color w:val="243673"/>
              </w:rPr>
            </w:pPr>
          </w:p>
        </w:tc>
        <w:tc>
          <w:tcPr>
            <w:tcW w:w="992" w:type="dxa"/>
          </w:tcPr>
          <w:p w14:paraId="00000137" w14:textId="77777777" w:rsidR="00785DC0" w:rsidRDefault="00785DC0">
            <w:pPr>
              <w:widowControl w:val="0"/>
              <w:spacing w:after="0" w:line="240" w:lineRule="auto"/>
              <w:rPr>
                <w:rFonts w:ascii="Aptos" w:eastAsia="Aptos" w:hAnsi="Aptos" w:cs="Aptos"/>
                <w:color w:val="243673"/>
              </w:rPr>
            </w:pPr>
          </w:p>
        </w:tc>
      </w:tr>
      <w:tr w:rsidR="00785DC0" w14:paraId="76A8BEED" w14:textId="77777777">
        <w:tc>
          <w:tcPr>
            <w:tcW w:w="6520" w:type="dxa"/>
            <w:shd w:val="clear" w:color="auto" w:fill="243673"/>
          </w:tcPr>
          <w:p w14:paraId="00000138" w14:textId="77777777" w:rsidR="00785DC0" w:rsidRDefault="00000000">
            <w:pPr>
              <w:widowControl w:val="0"/>
              <w:rPr>
                <w:rFonts w:ascii="Aptos" w:eastAsia="Aptos" w:hAnsi="Aptos" w:cs="Aptos"/>
                <w:color w:val="FFFFFF"/>
              </w:rPr>
            </w:pPr>
            <w:r>
              <w:rPr>
                <w:rFonts w:ascii="Aptos" w:eastAsia="Aptos" w:hAnsi="Aptos" w:cs="Aptos"/>
                <w:b/>
                <w:bCs/>
                <w:color w:val="FFFFFF"/>
              </w:rPr>
              <w:t>Interaction Strategies</w:t>
            </w:r>
          </w:p>
        </w:tc>
        <w:tc>
          <w:tcPr>
            <w:tcW w:w="850" w:type="dxa"/>
            <w:shd w:val="clear" w:color="auto" w:fill="243673"/>
          </w:tcPr>
          <w:p w14:paraId="00000139" w14:textId="77777777" w:rsidR="00785DC0" w:rsidRDefault="00785DC0">
            <w:pPr>
              <w:widowControl w:val="0"/>
              <w:rPr>
                <w:rFonts w:ascii="Aptos" w:eastAsia="Aptos" w:hAnsi="Aptos" w:cs="Aptos"/>
                <w:color w:val="FFFFFF"/>
              </w:rPr>
            </w:pPr>
          </w:p>
        </w:tc>
        <w:tc>
          <w:tcPr>
            <w:tcW w:w="1276" w:type="dxa"/>
            <w:shd w:val="clear" w:color="auto" w:fill="243673"/>
          </w:tcPr>
          <w:p w14:paraId="0000013A" w14:textId="77777777" w:rsidR="00785DC0" w:rsidRDefault="00785DC0">
            <w:pPr>
              <w:widowControl w:val="0"/>
              <w:rPr>
                <w:rFonts w:ascii="Aptos" w:eastAsia="Aptos" w:hAnsi="Aptos" w:cs="Aptos"/>
                <w:color w:val="FFFFFF"/>
              </w:rPr>
            </w:pPr>
          </w:p>
        </w:tc>
        <w:tc>
          <w:tcPr>
            <w:tcW w:w="992" w:type="dxa"/>
            <w:shd w:val="clear" w:color="auto" w:fill="243673"/>
          </w:tcPr>
          <w:p w14:paraId="0000013B" w14:textId="77777777" w:rsidR="00785DC0" w:rsidRDefault="00785DC0">
            <w:pPr>
              <w:widowControl w:val="0"/>
              <w:rPr>
                <w:rFonts w:ascii="Aptos" w:eastAsia="Aptos" w:hAnsi="Aptos" w:cs="Aptos"/>
                <w:color w:val="FFFFFF"/>
              </w:rPr>
            </w:pPr>
          </w:p>
        </w:tc>
      </w:tr>
      <w:tr w:rsidR="00785DC0" w14:paraId="42B17EE9" w14:textId="77777777">
        <w:tc>
          <w:tcPr>
            <w:tcW w:w="6520" w:type="dxa"/>
          </w:tcPr>
          <w:p w14:paraId="0000013C"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select a suitable phrase from a readily available range of discourse functions to preface remarks appropriately </w:t>
            </w:r>
            <w:proofErr w:type="gramStart"/>
            <w:r>
              <w:rPr>
                <w:rFonts w:ascii="Aptos" w:eastAsia="Aptos" w:hAnsi="Aptos" w:cs="Aptos"/>
                <w:color w:val="243673"/>
              </w:rPr>
              <w:t>in order to</w:t>
            </w:r>
            <w:proofErr w:type="gramEnd"/>
            <w:r>
              <w:rPr>
                <w:rFonts w:ascii="Aptos" w:eastAsia="Aptos" w:hAnsi="Aptos" w:cs="Aptos"/>
                <w:color w:val="243673"/>
              </w:rPr>
              <w:t xml:space="preserve"> get the floor, or to gain time and keep the floor whilst thinking, during conference Q&amp;A and panel discussion. </w:t>
            </w:r>
          </w:p>
        </w:tc>
        <w:tc>
          <w:tcPr>
            <w:tcW w:w="850" w:type="dxa"/>
          </w:tcPr>
          <w:p w14:paraId="0000013D" w14:textId="77777777" w:rsidR="00785DC0" w:rsidRDefault="00785DC0">
            <w:pPr>
              <w:widowControl w:val="0"/>
              <w:spacing w:after="0" w:line="240" w:lineRule="auto"/>
              <w:rPr>
                <w:rFonts w:ascii="Aptos" w:eastAsia="Aptos" w:hAnsi="Aptos" w:cs="Aptos"/>
                <w:color w:val="243673"/>
              </w:rPr>
            </w:pPr>
          </w:p>
        </w:tc>
        <w:tc>
          <w:tcPr>
            <w:tcW w:w="1276" w:type="dxa"/>
          </w:tcPr>
          <w:p w14:paraId="0000013E" w14:textId="77777777" w:rsidR="00785DC0" w:rsidRDefault="00785DC0">
            <w:pPr>
              <w:widowControl w:val="0"/>
              <w:spacing w:after="0" w:line="240" w:lineRule="auto"/>
              <w:rPr>
                <w:rFonts w:ascii="Aptos" w:eastAsia="Aptos" w:hAnsi="Aptos" w:cs="Aptos"/>
                <w:color w:val="243673"/>
              </w:rPr>
            </w:pPr>
          </w:p>
        </w:tc>
        <w:tc>
          <w:tcPr>
            <w:tcW w:w="992" w:type="dxa"/>
          </w:tcPr>
          <w:p w14:paraId="0000013F" w14:textId="77777777" w:rsidR="00785DC0" w:rsidRDefault="00785DC0">
            <w:pPr>
              <w:widowControl w:val="0"/>
              <w:spacing w:after="0" w:line="240" w:lineRule="auto"/>
              <w:rPr>
                <w:rFonts w:ascii="Aptos" w:eastAsia="Aptos" w:hAnsi="Aptos" w:cs="Aptos"/>
                <w:color w:val="243673"/>
              </w:rPr>
            </w:pPr>
          </w:p>
        </w:tc>
      </w:tr>
      <w:tr w:rsidR="00785DC0" w14:paraId="2E5E9161" w14:textId="77777777">
        <w:tc>
          <w:tcPr>
            <w:tcW w:w="6520" w:type="dxa"/>
          </w:tcPr>
          <w:p w14:paraId="00000140"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link contributions </w:t>
            </w:r>
            <w:proofErr w:type="spellStart"/>
            <w:r>
              <w:rPr>
                <w:rFonts w:ascii="Aptos" w:eastAsia="Aptos" w:hAnsi="Aptos" w:cs="Aptos"/>
                <w:color w:val="243673"/>
              </w:rPr>
              <w:t>skilfully</w:t>
            </w:r>
            <w:proofErr w:type="spellEnd"/>
            <w:r>
              <w:rPr>
                <w:rFonts w:ascii="Aptos" w:eastAsia="Aptos" w:hAnsi="Aptos" w:cs="Aptos"/>
                <w:color w:val="243673"/>
              </w:rPr>
              <w:t xml:space="preserve"> to those of other speakers, widen the scope of the interaction and help steer it towards an outcome in cross-disciplinary seminar and panel contexts. </w:t>
            </w:r>
          </w:p>
        </w:tc>
        <w:tc>
          <w:tcPr>
            <w:tcW w:w="850" w:type="dxa"/>
          </w:tcPr>
          <w:p w14:paraId="00000141" w14:textId="77777777" w:rsidR="00785DC0" w:rsidRDefault="00785DC0">
            <w:pPr>
              <w:widowControl w:val="0"/>
              <w:spacing w:after="0" w:line="240" w:lineRule="auto"/>
              <w:rPr>
                <w:rFonts w:ascii="Aptos" w:eastAsia="Aptos" w:hAnsi="Aptos" w:cs="Aptos"/>
                <w:color w:val="243673"/>
              </w:rPr>
            </w:pPr>
          </w:p>
        </w:tc>
        <w:tc>
          <w:tcPr>
            <w:tcW w:w="1276" w:type="dxa"/>
          </w:tcPr>
          <w:p w14:paraId="00000142" w14:textId="77777777" w:rsidR="00785DC0" w:rsidRDefault="00785DC0">
            <w:pPr>
              <w:widowControl w:val="0"/>
              <w:spacing w:after="0" w:line="240" w:lineRule="auto"/>
              <w:rPr>
                <w:rFonts w:ascii="Aptos" w:eastAsia="Aptos" w:hAnsi="Aptos" w:cs="Aptos"/>
                <w:color w:val="243673"/>
              </w:rPr>
            </w:pPr>
          </w:p>
        </w:tc>
        <w:tc>
          <w:tcPr>
            <w:tcW w:w="992" w:type="dxa"/>
          </w:tcPr>
          <w:p w14:paraId="00000143" w14:textId="77777777" w:rsidR="00785DC0" w:rsidRDefault="00785DC0">
            <w:pPr>
              <w:widowControl w:val="0"/>
              <w:spacing w:after="0" w:line="240" w:lineRule="auto"/>
              <w:rPr>
                <w:rFonts w:ascii="Aptos" w:eastAsia="Aptos" w:hAnsi="Aptos" w:cs="Aptos"/>
                <w:color w:val="243673"/>
              </w:rPr>
            </w:pPr>
          </w:p>
        </w:tc>
      </w:tr>
      <w:tr w:rsidR="00785DC0" w14:paraId="7CFBFCD1" w14:textId="77777777">
        <w:tc>
          <w:tcPr>
            <w:tcW w:w="6520" w:type="dxa"/>
            <w:shd w:val="clear" w:color="auto" w:fill="243673"/>
          </w:tcPr>
          <w:p w14:paraId="00000144" w14:textId="77777777" w:rsidR="00785DC0" w:rsidRDefault="00000000">
            <w:pPr>
              <w:widowControl w:val="0"/>
              <w:rPr>
                <w:rFonts w:ascii="Aptos" w:eastAsia="Aptos" w:hAnsi="Aptos" w:cs="Aptos"/>
                <w:color w:val="FFFFFF"/>
              </w:rPr>
            </w:pPr>
            <w:r>
              <w:rPr>
                <w:rFonts w:ascii="Aptos" w:eastAsia="Aptos" w:hAnsi="Aptos" w:cs="Aptos"/>
                <w:b/>
                <w:bCs/>
                <w:color w:val="FFFFFF"/>
              </w:rPr>
              <w:t>Mediation Strategies</w:t>
            </w:r>
          </w:p>
        </w:tc>
        <w:tc>
          <w:tcPr>
            <w:tcW w:w="850" w:type="dxa"/>
            <w:shd w:val="clear" w:color="auto" w:fill="243673"/>
          </w:tcPr>
          <w:p w14:paraId="00000145" w14:textId="77777777" w:rsidR="00785DC0" w:rsidRDefault="00785DC0">
            <w:pPr>
              <w:widowControl w:val="0"/>
              <w:rPr>
                <w:rFonts w:ascii="Aptos" w:eastAsia="Aptos" w:hAnsi="Aptos" w:cs="Aptos"/>
                <w:color w:val="FFFFFF"/>
              </w:rPr>
            </w:pPr>
          </w:p>
        </w:tc>
        <w:tc>
          <w:tcPr>
            <w:tcW w:w="1276" w:type="dxa"/>
            <w:shd w:val="clear" w:color="auto" w:fill="243673"/>
          </w:tcPr>
          <w:p w14:paraId="00000146" w14:textId="77777777" w:rsidR="00785DC0" w:rsidRDefault="00785DC0">
            <w:pPr>
              <w:widowControl w:val="0"/>
              <w:rPr>
                <w:rFonts w:ascii="Aptos" w:eastAsia="Aptos" w:hAnsi="Aptos" w:cs="Aptos"/>
                <w:color w:val="FFFFFF"/>
              </w:rPr>
            </w:pPr>
          </w:p>
        </w:tc>
        <w:tc>
          <w:tcPr>
            <w:tcW w:w="992" w:type="dxa"/>
            <w:shd w:val="clear" w:color="auto" w:fill="243673"/>
          </w:tcPr>
          <w:p w14:paraId="00000147" w14:textId="77777777" w:rsidR="00785DC0" w:rsidRDefault="00785DC0">
            <w:pPr>
              <w:widowControl w:val="0"/>
              <w:rPr>
                <w:rFonts w:ascii="Aptos" w:eastAsia="Aptos" w:hAnsi="Aptos" w:cs="Aptos"/>
                <w:color w:val="FFFFFF"/>
              </w:rPr>
            </w:pPr>
          </w:p>
        </w:tc>
      </w:tr>
      <w:tr w:rsidR="00785DC0" w14:paraId="6A1EE22C" w14:textId="77777777">
        <w:tc>
          <w:tcPr>
            <w:tcW w:w="6520" w:type="dxa"/>
          </w:tcPr>
          <w:p w14:paraId="00000148"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adapt the language of a very wide range of texts </w:t>
            </w:r>
            <w:proofErr w:type="gramStart"/>
            <w:r>
              <w:rPr>
                <w:rFonts w:ascii="Aptos" w:eastAsia="Aptos" w:hAnsi="Aptos" w:cs="Aptos"/>
                <w:color w:val="243673"/>
              </w:rPr>
              <w:t>in order to</w:t>
            </w:r>
            <w:proofErr w:type="gramEnd"/>
            <w:r>
              <w:rPr>
                <w:rFonts w:ascii="Aptos" w:eastAsia="Aptos" w:hAnsi="Aptos" w:cs="Aptos"/>
                <w:color w:val="243673"/>
              </w:rPr>
              <w:t xml:space="preserve"> present the main content in a register and degree of sophistication and detail appropriate to the audience concerned — including full register shift from academic paper to policy brief. </w:t>
            </w:r>
          </w:p>
        </w:tc>
        <w:tc>
          <w:tcPr>
            <w:tcW w:w="850" w:type="dxa"/>
          </w:tcPr>
          <w:p w14:paraId="00000149" w14:textId="77777777" w:rsidR="00785DC0" w:rsidRDefault="00785DC0">
            <w:pPr>
              <w:widowControl w:val="0"/>
              <w:spacing w:after="0" w:line="240" w:lineRule="auto"/>
              <w:rPr>
                <w:rFonts w:ascii="Aptos" w:eastAsia="Aptos" w:hAnsi="Aptos" w:cs="Aptos"/>
                <w:color w:val="243673"/>
              </w:rPr>
            </w:pPr>
          </w:p>
        </w:tc>
        <w:tc>
          <w:tcPr>
            <w:tcW w:w="1276" w:type="dxa"/>
          </w:tcPr>
          <w:p w14:paraId="0000014A" w14:textId="77777777" w:rsidR="00785DC0" w:rsidRDefault="00785DC0">
            <w:pPr>
              <w:widowControl w:val="0"/>
              <w:spacing w:after="0" w:line="240" w:lineRule="auto"/>
              <w:rPr>
                <w:rFonts w:ascii="Aptos" w:eastAsia="Aptos" w:hAnsi="Aptos" w:cs="Aptos"/>
                <w:color w:val="243673"/>
              </w:rPr>
            </w:pPr>
          </w:p>
        </w:tc>
        <w:tc>
          <w:tcPr>
            <w:tcW w:w="992" w:type="dxa"/>
          </w:tcPr>
          <w:p w14:paraId="0000014B" w14:textId="77777777" w:rsidR="00785DC0" w:rsidRDefault="00785DC0">
            <w:pPr>
              <w:widowControl w:val="0"/>
              <w:spacing w:after="0" w:line="240" w:lineRule="auto"/>
              <w:rPr>
                <w:rFonts w:ascii="Aptos" w:eastAsia="Aptos" w:hAnsi="Aptos" w:cs="Aptos"/>
                <w:color w:val="243673"/>
              </w:rPr>
            </w:pPr>
          </w:p>
        </w:tc>
      </w:tr>
    </w:tbl>
    <w:p w14:paraId="0000014C" w14:textId="77777777" w:rsidR="00785DC0" w:rsidRDefault="00785DC0">
      <w:pPr>
        <w:rPr>
          <w:rFonts w:ascii="Aptos" w:eastAsia="Aptos" w:hAnsi="Aptos" w:cs="Aptos"/>
        </w:rPr>
      </w:pPr>
    </w:p>
    <w:p w14:paraId="0000014D" w14:textId="77777777" w:rsidR="00785DC0" w:rsidRDefault="00785DC0">
      <w:pPr>
        <w:rPr>
          <w:rFonts w:ascii="Aptos" w:eastAsia="Aptos" w:hAnsi="Aptos" w:cs="Aptos"/>
          <w:color w:val="243673"/>
        </w:rPr>
      </w:pPr>
    </w:p>
    <w:tbl>
      <w:tblPr>
        <w:tblStyle w:val="af6"/>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81"/>
      </w:tblGrid>
      <w:tr w:rsidR="00785DC0" w14:paraId="3DD7A2C0" w14:textId="77777777">
        <w:tc>
          <w:tcPr>
            <w:tcW w:w="9781" w:type="dxa"/>
            <w:shd w:val="clear" w:color="auto" w:fill="243673"/>
          </w:tcPr>
          <w:p w14:paraId="0000014E" w14:textId="77777777" w:rsidR="00785DC0"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APPENDIX 1.2 </w:t>
            </w:r>
            <w:r>
              <w:rPr>
                <w:rFonts w:ascii="Aptos" w:eastAsia="Aptos" w:hAnsi="Aptos" w:cs="Aptos"/>
                <w:color w:val="FFFFFF"/>
                <w:sz w:val="28"/>
                <w:szCs w:val="28"/>
              </w:rPr>
              <w:t>LANGUAGE LEARNING SELF-ASSESSMENT CHECKLIST</w:t>
            </w:r>
          </w:p>
        </w:tc>
      </w:tr>
    </w:tbl>
    <w:p w14:paraId="0000014F" w14:textId="77777777" w:rsidR="00785DC0" w:rsidRDefault="00785DC0">
      <w:pPr>
        <w:rPr>
          <w:rFonts w:ascii="Aptos" w:eastAsia="Aptos" w:hAnsi="Aptos" w:cs="Aptos"/>
          <w:color w:val="243673"/>
        </w:rPr>
      </w:pPr>
    </w:p>
    <w:tbl>
      <w:tblPr>
        <w:tblStyle w:val="af7"/>
        <w:tblW w:w="9751" w:type="dxa"/>
        <w:tblInd w:w="-8" w:type="dxa"/>
        <w:tblLayout w:type="fixed"/>
        <w:tblLook w:val="0400" w:firstRow="0" w:lastRow="0" w:firstColumn="0" w:lastColumn="0" w:noHBand="0" w:noVBand="1"/>
      </w:tblPr>
      <w:tblGrid>
        <w:gridCol w:w="6521"/>
        <w:gridCol w:w="1134"/>
        <w:gridCol w:w="1134"/>
        <w:gridCol w:w="962"/>
      </w:tblGrid>
      <w:tr w:rsidR="00785DC0" w14:paraId="148B87C1" w14:textId="77777777">
        <w:trPr>
          <w:trHeight w:val="46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00000150" w14:textId="77777777" w:rsidR="00785DC0" w:rsidRDefault="00000000">
            <w:pPr>
              <w:pBdr>
                <w:top w:val="nil"/>
                <w:left w:val="nil"/>
                <w:bottom w:val="nil"/>
                <w:right w:val="nil"/>
                <w:between w:val="nil"/>
              </w:pBdr>
              <w:rPr>
                <w:rFonts w:ascii="Aptos" w:eastAsia="Aptos" w:hAnsi="Aptos" w:cs="Aptos"/>
                <w:b/>
                <w:bCs/>
              </w:rPr>
            </w:pPr>
            <w:r>
              <w:rPr>
                <w:rFonts w:ascii="Aptos" w:eastAsia="Aptos" w:hAnsi="Aptos" w:cs="Aptos"/>
                <w:b/>
                <w:bCs/>
              </w:rPr>
              <w:t>Scenario: _____________________________________</w:t>
            </w:r>
          </w:p>
        </w:tc>
      </w:tr>
      <w:tr w:rsidR="00785DC0" w14:paraId="47E3AF16" w14:textId="77777777">
        <w:trPr>
          <w:trHeight w:val="46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00000154" w14:textId="77777777" w:rsidR="00785DC0" w:rsidRDefault="00000000">
            <w:pPr>
              <w:pBdr>
                <w:top w:val="nil"/>
                <w:left w:val="nil"/>
                <w:bottom w:val="nil"/>
                <w:right w:val="nil"/>
                <w:between w:val="nil"/>
              </w:pBdr>
              <w:rPr>
                <w:rFonts w:ascii="Aptos" w:eastAsia="Aptos" w:hAnsi="Aptos" w:cs="Aptos"/>
                <w:b/>
                <w:bCs/>
              </w:rPr>
            </w:pPr>
            <w:r>
              <w:rPr>
                <w:rFonts w:ascii="Aptos" w:eastAsia="Aptos" w:hAnsi="Aptos" w:cs="Aptos"/>
              </w:rPr>
              <w:t>These are the things I will be able to do by the end of this scenario:</w:t>
            </w:r>
          </w:p>
        </w:tc>
      </w:tr>
      <w:tr w:rsidR="00785DC0" w14:paraId="04C0ACC6"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58" w14:textId="77777777" w:rsidR="00785DC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What I can do in the language I am learning</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59"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5A"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5B"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785DC0" w14:paraId="6EB0C9DF"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5C" w14:textId="77777777" w:rsidR="00785DC0"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consciously adopt the conventions of different academic genres (paper, policy brief, 3MT) when planning and drafting, thinking about how each choice will affect my audience.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5D"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5E"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5F"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0F3D54B8"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0" w14:textId="77777777" w:rsidR="00785DC0"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use circumlocution, paraphrase, or reformulation fluidly when I cannot immediately access the precise term I need during oral presentation or Q&amp;A.</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1"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2"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3"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3EE7CF1E"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4" w14:textId="77777777" w:rsidR="00785DC0"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use a range of discourse functions to take the floor, hold the turn while formulating a response, or intervene appropriately in expert academic discussion and Q&amp;A.</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5" w14:textId="77777777" w:rsidR="00785DC0" w:rsidRDefault="00785DC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6" w14:textId="77777777" w:rsidR="00785DC0" w:rsidRDefault="00785DC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7" w14:textId="77777777" w:rsidR="00785DC0" w:rsidRDefault="00785DC0">
            <w:pPr>
              <w:pBdr>
                <w:top w:val="nil"/>
                <w:left w:val="nil"/>
                <w:bottom w:val="nil"/>
                <w:right w:val="nil"/>
                <w:between w:val="nil"/>
              </w:pBdr>
              <w:rPr>
                <w:rFonts w:ascii="Aptos" w:eastAsia="Aptos" w:hAnsi="Aptos" w:cs="Aptos"/>
                <w:color w:val="243673"/>
              </w:rPr>
            </w:pPr>
          </w:p>
        </w:tc>
      </w:tr>
      <w:tr w:rsidR="00785DC0" w14:paraId="5E01752F"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8" w14:textId="77777777" w:rsidR="00785DC0"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link my contributions to those of other speakers, build on their ideas, and help steer a cross-disciplinary panel or seminar discussion towards a meaningful outcome.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9" w14:textId="77777777" w:rsidR="00785DC0" w:rsidRDefault="00785DC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A" w14:textId="77777777" w:rsidR="00785DC0" w:rsidRDefault="00785DC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B" w14:textId="77777777" w:rsidR="00785DC0" w:rsidRDefault="00785DC0">
            <w:pPr>
              <w:pBdr>
                <w:top w:val="nil"/>
                <w:left w:val="nil"/>
                <w:bottom w:val="nil"/>
                <w:right w:val="nil"/>
                <w:between w:val="nil"/>
              </w:pBdr>
              <w:rPr>
                <w:rFonts w:ascii="Aptos" w:eastAsia="Aptos" w:hAnsi="Aptos" w:cs="Aptos"/>
                <w:color w:val="243673"/>
              </w:rPr>
            </w:pPr>
          </w:p>
        </w:tc>
      </w:tr>
      <w:tr w:rsidR="00785DC0" w14:paraId="78F96A42"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C" w14:textId="77777777" w:rsidR="00785DC0"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redraft and streamline a complex source text — removing what is not relevant, improving coherence, and tailoring the argument to a new purpose and audience — as I do when transforming my academic paper into a plain-language summary.</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D" w14:textId="77777777" w:rsidR="00785DC0" w:rsidRDefault="00785DC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E" w14:textId="77777777" w:rsidR="00785DC0" w:rsidRDefault="00785DC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6F" w14:textId="77777777" w:rsidR="00785DC0" w:rsidRDefault="00785DC0">
            <w:pPr>
              <w:pBdr>
                <w:top w:val="nil"/>
                <w:left w:val="nil"/>
                <w:bottom w:val="nil"/>
                <w:right w:val="nil"/>
                <w:between w:val="nil"/>
              </w:pBdr>
              <w:rPr>
                <w:rFonts w:ascii="Aptos" w:eastAsia="Aptos" w:hAnsi="Aptos" w:cs="Aptos"/>
                <w:color w:val="243673"/>
              </w:rPr>
            </w:pPr>
          </w:p>
        </w:tc>
      </w:tr>
      <w:tr w:rsidR="00785DC0" w14:paraId="136E4C2F"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70" w14:textId="77777777" w:rsidR="00785DC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 xml:space="preserve">Quality of the language I use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71"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by myself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72"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with help </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73"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not yet </w:t>
            </w:r>
          </w:p>
        </w:tc>
      </w:tr>
      <w:tr w:rsidR="00785DC0" w14:paraId="096D5143" w14:textId="77777777">
        <w:trPr>
          <w:trHeight w:val="631"/>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4" w14:textId="77777777" w:rsidR="00785DC0"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I can adapt complex academic content across a very wide range of registers — from a full academic paper to an accessible policy </w:t>
            </w:r>
            <w:r>
              <w:rPr>
                <w:rFonts w:ascii="Aptos" w:eastAsia="Aptos" w:hAnsi="Aptos" w:cs="Aptos"/>
                <w:color w:val="243673"/>
              </w:rPr>
              <w:lastRenderedPageBreak/>
              <w:t>brief — choosing the appropriate level of detail and vocabulary for each audience.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5" w14:textId="77777777" w:rsidR="00785DC0" w:rsidRDefault="00785DC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6" w14:textId="77777777" w:rsidR="00785DC0" w:rsidRDefault="00785DC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7" w14:textId="77777777" w:rsidR="00785DC0" w:rsidRDefault="00785DC0">
            <w:pPr>
              <w:pBdr>
                <w:top w:val="nil"/>
                <w:left w:val="nil"/>
                <w:bottom w:val="nil"/>
                <w:right w:val="nil"/>
                <w:between w:val="nil"/>
              </w:pBdr>
              <w:rPr>
                <w:rFonts w:ascii="Aptos" w:eastAsia="Aptos" w:hAnsi="Aptos" w:cs="Aptos"/>
                <w:color w:val="243673"/>
              </w:rPr>
            </w:pPr>
          </w:p>
        </w:tc>
      </w:tr>
      <w:tr w:rsidR="00785DC0" w14:paraId="41D334EE"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8"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I can produce a concise, accessible plain-language summary of complex research findings, adapting vocabulary, structure, and framing to a non-specialist audience.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9"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A"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B"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5EA27423"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C"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I can deliver a fluent oral presentation to an academic audience, using appropriate academic style, audience engagement strategies, and disciplinary terminology.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D" w14:textId="77777777" w:rsidR="00785DC0" w:rsidRDefault="00785DC0">
            <w:pPr>
              <w:numPr>
                <w:ilvl w:val="0"/>
                <w:numId w:val="15"/>
              </w:numPr>
              <w:pBdr>
                <w:top w:val="nil"/>
                <w:left w:val="nil"/>
                <w:bottom w:val="nil"/>
                <w:right w:val="nil"/>
                <w:between w:val="nil"/>
              </w:pBdr>
              <w:spacing w:after="0" w:line="240" w:lineRule="auto"/>
              <w:ind w:left="0" w:hanging="360"/>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E" w14:textId="77777777" w:rsidR="00785DC0" w:rsidRDefault="00785DC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7F"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194E4F37"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80" w14:textId="77777777" w:rsidR="00785DC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 xml:space="preserve">I am plurilingual (PL) and pluricultural (PC)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81"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82"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83"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785DC0" w14:paraId="6C41A50E" w14:textId="77777777">
        <w:trPr>
          <w:trHeight w:val="4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4" w14:textId="77777777" w:rsidR="00785DC0"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sz w:val="20"/>
                <w:szCs w:val="20"/>
                <w:vertAlign w:val="superscript"/>
              </w:rPr>
              <w:t>PL</w:t>
            </w:r>
            <w:r>
              <w:rPr>
                <w:rFonts w:ascii="Aptos" w:eastAsia="Aptos" w:hAnsi="Aptos" w:cs="Aptos"/>
                <w:color w:val="243673"/>
              </w:rPr>
              <w:t xml:space="preserve"> I can incorporate resources produced in other languages into my English-language academic writing in a way that is both intellectually enriching and rhetorically coherent.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5"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6"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7"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2D65ED25" w14:textId="77777777">
        <w:trPr>
          <w:trHeight w:val="4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8" w14:textId="77777777" w:rsidR="00785DC0"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produce elements of my academic writing (e.g., a parallel abstract, a key concept gloss, or a positioning statement) in a language other than English.</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9" w14:textId="77777777" w:rsidR="00785DC0" w:rsidRDefault="00785DC0">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A" w14:textId="77777777" w:rsidR="00785DC0" w:rsidRDefault="00785DC0">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B" w14:textId="77777777" w:rsidR="00785DC0" w:rsidRDefault="00785DC0">
            <w:pPr>
              <w:pBdr>
                <w:top w:val="nil"/>
                <w:left w:val="nil"/>
                <w:bottom w:val="nil"/>
                <w:right w:val="nil"/>
                <w:between w:val="nil"/>
              </w:pBdr>
              <w:rPr>
                <w:rFonts w:ascii="Aptos" w:eastAsia="Aptos" w:hAnsi="Aptos" w:cs="Aptos"/>
                <w:color w:val="243673"/>
              </w:rPr>
            </w:pPr>
          </w:p>
        </w:tc>
      </w:tr>
      <w:tr w:rsidR="00785DC0" w14:paraId="3A475CDD" w14:textId="77777777">
        <w:trPr>
          <w:trHeight w:val="4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C" w14:textId="77777777" w:rsidR="00785DC0"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sz w:val="20"/>
                <w:szCs w:val="20"/>
                <w:vertAlign w:val="superscript"/>
              </w:rPr>
              <w:t>PC</w:t>
            </w:r>
            <w:r>
              <w:rPr>
                <w:rFonts w:ascii="Aptos" w:eastAsia="Aptos" w:hAnsi="Aptos" w:cs="Aptos"/>
                <w:color w:val="243673"/>
              </w:rPr>
              <w:t xml:space="preserve"> I can draw on scholarly conventions, argumentative traditions, or theoretical frameworks from non-Anglophone academic cultures.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D"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E"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8F"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5EC25B82"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90" w14:textId="77777777" w:rsidR="00785DC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I can use communication strategies</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91" w14:textId="77777777" w:rsidR="00785DC0" w:rsidRDefault="00000000">
            <w:pPr>
              <w:numPr>
                <w:ilvl w:val="0"/>
                <w:numId w:val="18"/>
              </w:numPr>
              <w:pBdr>
                <w:top w:val="nil"/>
                <w:left w:val="nil"/>
                <w:bottom w:val="nil"/>
                <w:right w:val="nil"/>
                <w:between w:val="nil"/>
              </w:pBdr>
              <w:spacing w:after="0" w:line="240" w:lineRule="auto"/>
              <w:ind w:left="0" w:hanging="360"/>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92"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93" w14:textId="77777777" w:rsidR="00785DC0"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785DC0" w14:paraId="613D602B"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4" w14:textId="77777777" w:rsidR="00785DC0" w:rsidRDefault="00000000">
            <w:pPr>
              <w:numPr>
                <w:ilvl w:val="0"/>
                <w:numId w:val="16"/>
              </w:numPr>
              <w:pBdr>
                <w:top w:val="nil"/>
                <w:left w:val="nil"/>
                <w:bottom w:val="nil"/>
                <w:right w:val="nil"/>
                <w:between w:val="nil"/>
              </w:pBdr>
              <w:spacing w:after="0" w:line="240" w:lineRule="auto"/>
              <w:ind w:left="0" w:hanging="360"/>
              <w:rPr>
                <w:rFonts w:ascii="Aptos" w:eastAsia="Aptos" w:hAnsi="Aptos" w:cs="Aptos"/>
                <w:color w:val="243673"/>
              </w:rPr>
            </w:pPr>
            <w:r>
              <w:rPr>
                <w:rFonts w:ascii="Aptos" w:eastAsia="Aptos" w:hAnsi="Aptos" w:cs="Aptos"/>
                <w:color w:val="243673"/>
              </w:rPr>
              <w:t>I can smoothly substitute an equivalent term for a word I cannot recall.</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5"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6"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7"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0A9F3893"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8" w14:textId="77777777" w:rsidR="00785DC0" w:rsidRDefault="00000000">
            <w:pPr>
              <w:numPr>
                <w:ilvl w:val="0"/>
                <w:numId w:val="16"/>
              </w:numPr>
              <w:pBdr>
                <w:top w:val="nil"/>
                <w:left w:val="nil"/>
                <w:bottom w:val="nil"/>
                <w:right w:val="nil"/>
                <w:between w:val="nil"/>
              </w:pBdr>
              <w:spacing w:after="0" w:line="240" w:lineRule="auto"/>
              <w:ind w:left="0" w:hanging="360"/>
              <w:rPr>
                <w:rFonts w:ascii="Aptos" w:eastAsia="Aptos" w:hAnsi="Aptos" w:cs="Aptos"/>
                <w:color w:val="243673"/>
              </w:rPr>
            </w:pPr>
            <w:r>
              <w:rPr>
                <w:rFonts w:ascii="Aptos" w:eastAsia="Aptos" w:hAnsi="Aptos" w:cs="Aptos"/>
                <w:color w:val="243673"/>
              </w:rPr>
              <w:t>I can redraft or shorten a complex source text and improve its coherence, cohesion and the flow of an argument based on genre.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9"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A"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00019B" w14:textId="77777777" w:rsidR="00785DC0"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785DC0" w14:paraId="194A28E9" w14:textId="77777777">
        <w:trPr>
          <w:trHeight w:val="220"/>
        </w:trPr>
        <w:tc>
          <w:tcPr>
            <w:tcW w:w="9751" w:type="dxa"/>
            <w:gridSpan w:val="4"/>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000019C" w14:textId="77777777" w:rsidR="00785DC0"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My space for free reflection</w:t>
            </w:r>
          </w:p>
        </w:tc>
      </w:tr>
      <w:tr w:rsidR="00785DC0" w14:paraId="4D102D63" w14:textId="77777777">
        <w:trPr>
          <w:trHeight w:val="22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000001A0" w14:textId="77777777" w:rsidR="00785DC0" w:rsidRDefault="00785DC0">
            <w:pPr>
              <w:pBdr>
                <w:top w:val="nil"/>
                <w:left w:val="nil"/>
                <w:bottom w:val="nil"/>
                <w:right w:val="nil"/>
                <w:between w:val="nil"/>
              </w:pBdr>
              <w:rPr>
                <w:rFonts w:ascii="Aptos" w:eastAsia="Aptos" w:hAnsi="Aptos" w:cs="Aptos"/>
                <w:color w:val="243673"/>
              </w:rPr>
            </w:pPr>
          </w:p>
          <w:p w14:paraId="000001A1" w14:textId="77777777" w:rsidR="00785DC0" w:rsidRDefault="00785DC0">
            <w:pPr>
              <w:pBdr>
                <w:top w:val="nil"/>
                <w:left w:val="nil"/>
                <w:bottom w:val="nil"/>
                <w:right w:val="nil"/>
                <w:between w:val="nil"/>
              </w:pBdr>
              <w:rPr>
                <w:rFonts w:ascii="Aptos" w:eastAsia="Aptos" w:hAnsi="Aptos" w:cs="Aptos"/>
                <w:color w:val="243673"/>
              </w:rPr>
            </w:pPr>
          </w:p>
          <w:p w14:paraId="000001A2" w14:textId="77777777" w:rsidR="00785DC0" w:rsidRDefault="00785DC0">
            <w:pPr>
              <w:pBdr>
                <w:top w:val="nil"/>
                <w:left w:val="nil"/>
                <w:bottom w:val="nil"/>
                <w:right w:val="nil"/>
                <w:between w:val="nil"/>
              </w:pBdr>
              <w:rPr>
                <w:rFonts w:ascii="Aptos" w:eastAsia="Aptos" w:hAnsi="Aptos" w:cs="Aptos"/>
                <w:color w:val="243673"/>
              </w:rPr>
            </w:pPr>
          </w:p>
        </w:tc>
      </w:tr>
    </w:tbl>
    <w:p w14:paraId="000001A6" w14:textId="77777777" w:rsidR="00785DC0" w:rsidRDefault="00785DC0">
      <w:pPr>
        <w:rPr>
          <w:rFonts w:ascii="Aptos" w:eastAsia="Aptos" w:hAnsi="Aptos" w:cs="Aptos"/>
          <w:color w:val="243673"/>
        </w:rPr>
      </w:pPr>
    </w:p>
    <w:p w14:paraId="000001A7" w14:textId="77777777" w:rsidR="00785DC0" w:rsidRDefault="00785DC0">
      <w:pPr>
        <w:rPr>
          <w:rFonts w:ascii="Aptos" w:eastAsia="Aptos" w:hAnsi="Aptos" w:cs="Aptos"/>
        </w:rPr>
      </w:pPr>
      <w:bookmarkStart w:id="3" w:name="_heading=h.p5mq2pfzlrb2" w:colFirst="0" w:colLast="0"/>
      <w:bookmarkEnd w:id="3"/>
    </w:p>
    <w:sectPr w:rsidR="00785DC0">
      <w:headerReference w:type="default" r:id="rId10"/>
      <w:footerReference w:type="default" r:id="rId11"/>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2B91B" w14:textId="77777777" w:rsidR="00B36436" w:rsidRDefault="00B36436">
      <w:pPr>
        <w:spacing w:after="0" w:line="240" w:lineRule="auto"/>
      </w:pPr>
      <w:r>
        <w:separator/>
      </w:r>
    </w:p>
  </w:endnote>
  <w:endnote w:type="continuationSeparator" w:id="0">
    <w:p w14:paraId="1925CDD3" w14:textId="77777777" w:rsidR="00B36436" w:rsidRDefault="00B364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B8D8AEF-95B0-A847-AE2C-5351D865A6E3}"/>
    <w:embedBold r:id="rId2" w:fontKey="{E7565E1E-1A34-CE47-A8AF-48FAB45E3F59}"/>
  </w:font>
  <w:font w:name="Noto Sans Symbols">
    <w:panose1 w:val="020B0604020202020204"/>
    <w:charset w:val="00"/>
    <w:family w:val="auto"/>
    <w:pitch w:val="default"/>
    <w:embedRegular r:id="rId3" w:fontKey="{E3D31649-3634-0D4F-AC64-61D7E538F542}"/>
  </w:font>
  <w:font w:name="Courier New">
    <w:panose1 w:val="02070309020205020404"/>
    <w:charset w:val="00"/>
    <w:family w:val="modern"/>
    <w:pitch w:val="fixed"/>
    <w:sig w:usb0="E0002AFF" w:usb1="C0007843" w:usb2="00000009" w:usb3="00000000" w:csb0="000001FF" w:csb1="00000000"/>
    <w:embedRegular r:id="rId4" w:fontKey="{9708581E-584C-A34A-A994-43680951FB05}"/>
  </w:font>
  <w:font w:name="Arial">
    <w:panose1 w:val="020B0604020202020204"/>
    <w:charset w:val="00"/>
    <w:family w:val="swiss"/>
    <w:pitch w:val="variable"/>
    <w:sig w:usb0="E0002AFF" w:usb1="C0007843" w:usb2="00000009" w:usb3="00000000" w:csb0="000001FF" w:csb1="00000000"/>
    <w:embedRegular r:id="rId5" w:fontKey="{A1F911C2-886B-C64A-97A2-98C863C46C27}"/>
  </w:font>
  <w:font w:name="Calibri">
    <w:panose1 w:val="020F0502020204030204"/>
    <w:charset w:val="00"/>
    <w:family w:val="swiss"/>
    <w:pitch w:val="variable"/>
    <w:sig w:usb0="E0002AFF" w:usb1="C000247B" w:usb2="00000009" w:usb3="00000000" w:csb0="000001FF" w:csb1="00000000"/>
    <w:embedRegular r:id="rId6" w:fontKey="{125EF164-A655-9D4F-81F1-819C1353D535}"/>
    <w:embedItalic r:id="rId7" w:fontKey="{418DA6A9-4993-C846-A995-E43C1DEA8939}"/>
  </w:font>
  <w:font w:name="Play">
    <w:panose1 w:val="020B0604020202020204"/>
    <w:charset w:val="00"/>
    <w:family w:val="auto"/>
    <w:pitch w:val="default"/>
    <w:embedRegular r:id="rId8" w:fontKey="{5925CB25-9CCE-5146-AA1F-37B41D91FB09}"/>
  </w:font>
  <w:font w:name="Aptos">
    <w:panose1 w:val="020B0004020202020204"/>
    <w:charset w:val="00"/>
    <w:family w:val="swiss"/>
    <w:pitch w:val="variable"/>
    <w:sig w:usb0="20000287" w:usb1="00000003" w:usb2="00000000" w:usb3="00000000" w:csb0="0000019F" w:csb1="00000000"/>
    <w:embedRegular r:id="rId9" w:fontKey="{EFEE11DE-6FDD-104A-8A7B-C47D077C8A85}"/>
    <w:embedBold r:id="rId10" w:fontKey="{6451579F-EAEC-1F4D-BB77-5677ABAC72CA}"/>
    <w:embedItalic r:id="rId11" w:fontKey="{155BDC8B-E602-0741-B1DE-FAD3860C238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3" w:fontKey="{5956972F-7ED9-C941-BC7B-487F2025C24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AA" w14:textId="77777777" w:rsidR="00785DC0" w:rsidRDefault="00000000">
    <w:pPr>
      <w:spacing w:after="0" w:line="240" w:lineRule="auto"/>
      <w:rPr>
        <w:rFonts w:ascii="Helvetica Neue" w:eastAsia="Helvetica Neue" w:hAnsi="Helvetica Neue" w:cs="Helvetica Neue"/>
        <w:color w:val="000000"/>
        <w:sz w:val="18"/>
        <w:szCs w:val="18"/>
      </w:rPr>
    </w:pPr>
    <w:r>
      <w:rPr>
        <w:rFonts w:ascii="Aptos" w:eastAsia="Aptos" w:hAnsi="Aptos" w:cs="Aptos"/>
        <w:b/>
        <w:bCs/>
        <w:color w:val="000000"/>
        <w:sz w:val="13"/>
        <w:szCs w:val="13"/>
      </w:rPr>
      <w:t>Scenario-Template ©LINCDIRE </w:t>
    </w:r>
  </w:p>
  <w:p w14:paraId="000001AB" w14:textId="77777777" w:rsidR="00785DC0" w:rsidRDefault="00000000">
    <w:pPr>
      <w:spacing w:after="0" w:line="240" w:lineRule="auto"/>
      <w:rPr>
        <w:rFonts w:ascii="Helvetica Neue" w:eastAsia="Helvetica Neue" w:hAnsi="Helvetica Neue" w:cs="Helvetica Neue"/>
        <w:color w:val="000000"/>
        <w:sz w:val="18"/>
        <w:szCs w:val="18"/>
      </w:rPr>
    </w:pPr>
    <w:r>
      <w:rPr>
        <w:rFonts w:ascii="Aptos" w:eastAsia="Aptos" w:hAnsi="Aptos" w:cs="Aptos"/>
        <w:color w:val="000000"/>
        <w:sz w:val="11"/>
        <w:szCs w:val="11"/>
      </w:rPr>
      <w:t>This scenario template was developed within the LINCDIRE (Linguistic and Cultural Diversity Reinvented) research project coordinated by Enrica Piccardo. The Scenario-Template ©LINCDIRE cannot be reproduced for commercial purposes or non-educational purposes.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1C5B2" w14:textId="77777777" w:rsidR="00B36436" w:rsidRDefault="00B36436">
      <w:pPr>
        <w:spacing w:after="0" w:line="240" w:lineRule="auto"/>
      </w:pPr>
      <w:r>
        <w:separator/>
      </w:r>
    </w:p>
  </w:footnote>
  <w:footnote w:type="continuationSeparator" w:id="0">
    <w:p w14:paraId="36616BC1" w14:textId="77777777" w:rsidR="00B36436" w:rsidRDefault="00B364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A8" w14:textId="77777777" w:rsidR="00785DC0" w:rsidRDefault="00785DC0">
    <w:pPr>
      <w:pBdr>
        <w:top w:val="nil"/>
        <w:left w:val="nil"/>
        <w:bottom w:val="nil"/>
        <w:right w:val="nil"/>
        <w:between w:val="nil"/>
      </w:pBdr>
      <w:tabs>
        <w:tab w:val="center" w:pos="4819"/>
        <w:tab w:val="right" w:pos="9638"/>
      </w:tabs>
      <w:spacing w:after="0" w:line="240" w:lineRule="auto"/>
      <w:rPr>
        <w:color w:val="000000"/>
      </w:rPr>
    </w:pPr>
  </w:p>
  <w:p w14:paraId="000001A9" w14:textId="77777777" w:rsidR="00785DC0" w:rsidRDefault="00785DC0">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D4037"/>
    <w:multiLevelType w:val="multilevel"/>
    <w:tmpl w:val="8A86BCA6"/>
    <w:lvl w:ilvl="0">
      <w:start w:val="1"/>
      <w:numFmt w:val="decimal"/>
      <w:lvlText w:val="%1."/>
      <w:lvlJc w:val="left"/>
      <w:pPr>
        <w:ind w:left="360" w:hanging="360"/>
      </w:pPr>
      <w:rPr>
        <w:b/>
        <w:bCs/>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1" w15:restartNumberingAfterBreak="0">
    <w:nsid w:val="131E1662"/>
    <w:multiLevelType w:val="multilevel"/>
    <w:tmpl w:val="D39A444A"/>
    <w:lvl w:ilvl="0">
      <w:start w:val="9"/>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277CE3"/>
    <w:multiLevelType w:val="multilevel"/>
    <w:tmpl w:val="A38CB922"/>
    <w:lvl w:ilvl="0">
      <w:start w:val="1"/>
      <w:numFmt w:val="lowerLetter"/>
      <w:lvlText w:val="%1."/>
      <w:lvlJc w:val="left"/>
      <w:pPr>
        <w:ind w:left="1287" w:hanging="360"/>
      </w:pPr>
      <w:rPr>
        <w:color w:val="00000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 w15:restartNumberingAfterBreak="0">
    <w:nsid w:val="13BD6DCD"/>
    <w:multiLevelType w:val="multilevel"/>
    <w:tmpl w:val="37BC90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44F5757"/>
    <w:multiLevelType w:val="multilevel"/>
    <w:tmpl w:val="B642B80A"/>
    <w:lvl w:ilvl="0">
      <w:start w:val="1"/>
      <w:numFmt w:val="bullet"/>
      <w:lvlText w:val="●"/>
      <w:lvlJc w:val="left"/>
      <w:pPr>
        <w:ind w:left="1080" w:hanging="360"/>
      </w:pPr>
      <w:rPr>
        <w:rFonts w:ascii="Noto Sans Symbols" w:eastAsia="Noto Sans Symbols" w:hAnsi="Noto Sans Symbols" w:cs="Noto Sans Symbol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1CDB3E7D"/>
    <w:multiLevelType w:val="multilevel"/>
    <w:tmpl w:val="10B4323E"/>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6" w15:restartNumberingAfterBreak="0">
    <w:nsid w:val="1EF26358"/>
    <w:multiLevelType w:val="multilevel"/>
    <w:tmpl w:val="E55A4B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3E70D79"/>
    <w:multiLevelType w:val="multilevel"/>
    <w:tmpl w:val="329A8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9316AEB"/>
    <w:multiLevelType w:val="multilevel"/>
    <w:tmpl w:val="2C16AA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1F176A3"/>
    <w:multiLevelType w:val="multilevel"/>
    <w:tmpl w:val="372AAA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B3331B6"/>
    <w:multiLevelType w:val="multilevel"/>
    <w:tmpl w:val="B3820E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C8131E2"/>
    <w:multiLevelType w:val="multilevel"/>
    <w:tmpl w:val="B56697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8644043"/>
    <w:multiLevelType w:val="multilevel"/>
    <w:tmpl w:val="FB688D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CEE5206"/>
    <w:multiLevelType w:val="multilevel"/>
    <w:tmpl w:val="F20E8378"/>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4" w15:restartNumberingAfterBreak="0">
    <w:nsid w:val="5D834105"/>
    <w:multiLevelType w:val="multilevel"/>
    <w:tmpl w:val="3ACC1914"/>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5" w15:restartNumberingAfterBreak="0">
    <w:nsid w:val="639877B0"/>
    <w:multiLevelType w:val="multilevel"/>
    <w:tmpl w:val="D81E6E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3BF242E"/>
    <w:multiLevelType w:val="multilevel"/>
    <w:tmpl w:val="5F70CC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A6124ED"/>
    <w:multiLevelType w:val="multilevel"/>
    <w:tmpl w:val="8D4C38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B540E4E"/>
    <w:multiLevelType w:val="multilevel"/>
    <w:tmpl w:val="04767B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8379440">
    <w:abstractNumId w:val="15"/>
  </w:num>
  <w:num w:numId="2" w16cid:durableId="1579362837">
    <w:abstractNumId w:val="12"/>
  </w:num>
  <w:num w:numId="3" w16cid:durableId="1073891344">
    <w:abstractNumId w:val="6"/>
  </w:num>
  <w:num w:numId="4" w16cid:durableId="2132245549">
    <w:abstractNumId w:val="16"/>
  </w:num>
  <w:num w:numId="5" w16cid:durableId="1680543646">
    <w:abstractNumId w:val="10"/>
  </w:num>
  <w:num w:numId="6" w16cid:durableId="1074086633">
    <w:abstractNumId w:val="18"/>
  </w:num>
  <w:num w:numId="7" w16cid:durableId="250814787">
    <w:abstractNumId w:val="3"/>
  </w:num>
  <w:num w:numId="8" w16cid:durableId="129368307">
    <w:abstractNumId w:val="8"/>
  </w:num>
  <w:num w:numId="9" w16cid:durableId="742293073">
    <w:abstractNumId w:val="9"/>
  </w:num>
  <w:num w:numId="10" w16cid:durableId="1577860648">
    <w:abstractNumId w:val="17"/>
  </w:num>
  <w:num w:numId="11" w16cid:durableId="864949200">
    <w:abstractNumId w:val="0"/>
  </w:num>
  <w:num w:numId="12" w16cid:durableId="1534921591">
    <w:abstractNumId w:val="4"/>
  </w:num>
  <w:num w:numId="13" w16cid:durableId="1166943159">
    <w:abstractNumId w:val="2"/>
  </w:num>
  <w:num w:numId="14" w16cid:durableId="684794571">
    <w:abstractNumId w:val="1"/>
  </w:num>
  <w:num w:numId="15" w16cid:durableId="1990742972">
    <w:abstractNumId w:val="14"/>
  </w:num>
  <w:num w:numId="16" w16cid:durableId="889152648">
    <w:abstractNumId w:val="5"/>
  </w:num>
  <w:num w:numId="17" w16cid:durableId="760835175">
    <w:abstractNumId w:val="7"/>
  </w:num>
  <w:num w:numId="18" w16cid:durableId="380523111">
    <w:abstractNumId w:val="13"/>
  </w:num>
  <w:num w:numId="19" w16cid:durableId="73894647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5DC0"/>
    <w:rsid w:val="0028778E"/>
    <w:rsid w:val="00785DC0"/>
    <w:rsid w:val="00B36436"/>
    <w:rsid w:val="00E132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docId w15:val="{8B4D3A1A-3BB1-0742-AA78-21476577E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5">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7">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8">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b">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c">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d">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e">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5">
    <w:basedOn w:val="TableNormal0"/>
    <w:tblPr>
      <w:tblStyleRowBandSize w:val="1"/>
      <w:tblStyleColBandSize w:val="1"/>
      <w:tblCellMar>
        <w:top w:w="0" w:type="dxa"/>
        <w:left w:w="115" w:type="dxa"/>
        <w:bottom w:w="0" w:type="dxa"/>
        <w:right w:w="115" w:type="dxa"/>
      </w:tblCellMar>
    </w:tblPr>
  </w:style>
  <w:style w:type="table" w:customStyle="1" w:styleId="af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7">
    <w:basedOn w:val="TableNormal0"/>
    <w:tblPr>
      <w:tblStyleRowBandSize w:val="1"/>
      <w:tblStyleColBandSize w:val="1"/>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hreeminutethesis.uq.edu.au"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dJqzdGXgi84X0f5fgMD0Ho38w==">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4364</Words>
  <Characters>27930</Characters>
  <Application>Microsoft Office Word</Application>
  <DocSecurity>0</DocSecurity>
  <Lines>1034</Lines>
  <Paragraphs>276</Paragraphs>
  <ScaleCrop>false</ScaleCrop>
  <Company/>
  <LinksUpToDate>false</LinksUpToDate>
  <CharactersWithSpaces>32018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Enrica Piccardo</cp:lastModifiedBy>
  <cp:revision>2</cp:revision>
  <dcterms:created xsi:type="dcterms:W3CDTF">2026-05-04T23:03:00Z</dcterms:created>
  <dcterms:modified xsi:type="dcterms:W3CDTF">2026-05-04T23:04:00Z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156e618f-c8c3-406e-8f67-25a9187b6aad</vt:lpwstr>
  </property>
</Properties>
</file>