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D92789B" w14:textId="77777777" w:rsidR="00F72E09" w:rsidRDefault="00000000">
      <w:pPr>
        <w:spacing w:before="360" w:after="80"/>
        <w:jc w:val="center"/>
        <w:rPr>
          <w:rFonts w:ascii="Cambria" w:eastAsia="Cambria" w:hAnsi="Cambria" w:cs="Cambria"/>
          <w:b/>
          <w:bCs/>
          <w:sz w:val="32"/>
          <w:szCs w:val="32"/>
        </w:rPr>
      </w:pPr>
      <w:r>
        <w:rPr>
          <w:rFonts w:ascii="Cambria" w:eastAsia="Cambria" w:hAnsi="Cambria" w:cs="Cambria"/>
          <w:b/>
          <w:bCs/>
          <w:sz w:val="32"/>
          <w:szCs w:val="32"/>
        </w:rPr>
        <w:t>Considering Mediation Processes with Plurilingual Approaches</w:t>
      </w:r>
      <w:r>
        <w:rPr>
          <w:rFonts w:ascii="Cambria" w:eastAsia="Cambria" w:hAnsi="Cambria" w:cs="Cambria"/>
          <w:b/>
          <w:bCs/>
          <w:sz w:val="32"/>
          <w:szCs w:val="32"/>
        </w:rPr>
        <w:br/>
        <w:t>ESP Contexts and Plurilingual Projects</w:t>
      </w:r>
    </w:p>
    <w:p w14:paraId="5729B8F6" w14:textId="77777777" w:rsidR="00F72E09" w:rsidRDefault="00000000">
      <w:pPr>
        <w:spacing w:before="360" w:after="80"/>
        <w:jc w:val="center"/>
        <w:rPr>
          <w:rFonts w:ascii="Cambria" w:eastAsia="Cambria" w:hAnsi="Cambria" w:cs="Cambria"/>
          <w:b/>
          <w:bCs/>
          <w:sz w:val="32"/>
          <w:szCs w:val="32"/>
        </w:rPr>
      </w:pPr>
      <w:r>
        <w:rPr>
          <w:rFonts w:ascii="Cambria" w:eastAsia="Cambria" w:hAnsi="Cambria" w:cs="Cambria"/>
          <w:b/>
          <w:bCs/>
          <w:sz w:val="32"/>
          <w:szCs w:val="32"/>
        </w:rPr>
        <w:t>🔄</w:t>
      </w:r>
    </w:p>
    <w:p w14:paraId="76A9895C" w14:textId="77777777" w:rsidR="00F72E09" w:rsidRDefault="00000000">
      <w:pPr>
        <w:spacing w:before="360" w:after="80"/>
        <w:rPr>
          <w:rFonts w:ascii="Cambria" w:eastAsia="Cambria" w:hAnsi="Cambria" w:cs="Cambria"/>
          <w:b/>
          <w:bCs/>
          <w:sz w:val="28"/>
          <w:szCs w:val="28"/>
        </w:rPr>
      </w:pPr>
      <w:r>
        <w:rPr>
          <w:rFonts w:ascii="Cambria" w:eastAsia="Cambria" w:hAnsi="Cambria" w:cs="Cambria"/>
          <w:b/>
          <w:bCs/>
          <w:sz w:val="28"/>
          <w:szCs w:val="28"/>
        </w:rPr>
        <w:t>What is Mediation?</w:t>
      </w:r>
    </w:p>
    <w:p w14:paraId="61078003" w14:textId="77777777" w:rsidR="00F72E09" w:rsidRDefault="00000000">
      <w:pPr>
        <w:spacing w:before="240" w:after="240"/>
        <w:rPr>
          <w:rFonts w:ascii="Cambria" w:eastAsia="Cambria" w:hAnsi="Cambria" w:cs="Cambria"/>
          <w:sz w:val="24"/>
          <w:szCs w:val="24"/>
        </w:rPr>
      </w:pPr>
      <w:r>
        <w:rPr>
          <w:rFonts w:ascii="Cambria" w:eastAsia="Cambria" w:hAnsi="Cambria" w:cs="Cambria"/>
          <w:sz w:val="24"/>
          <w:szCs w:val="24"/>
        </w:rPr>
        <w:t xml:space="preserve">The concept of </w:t>
      </w:r>
      <w:r>
        <w:rPr>
          <w:rFonts w:ascii="Cambria" w:eastAsia="Cambria" w:hAnsi="Cambria" w:cs="Cambria"/>
          <w:i/>
          <w:iCs/>
          <w:sz w:val="24"/>
          <w:szCs w:val="24"/>
        </w:rPr>
        <w:t>mediation</w:t>
      </w:r>
      <w:r>
        <w:rPr>
          <w:rFonts w:ascii="Cambria" w:eastAsia="Cambria" w:hAnsi="Cambria" w:cs="Cambria"/>
          <w:sz w:val="24"/>
          <w:szCs w:val="24"/>
        </w:rPr>
        <w:t xml:space="preserve">, as originally envisioned by the sociocultural theory of learning, underscores that humans’ understanding of the world is shaped by the </w:t>
      </w:r>
      <w:r>
        <w:rPr>
          <w:rFonts w:ascii="Cambria" w:eastAsia="Cambria" w:hAnsi="Cambria" w:cs="Cambria"/>
          <w:i/>
          <w:iCs/>
          <w:sz w:val="24"/>
          <w:szCs w:val="24"/>
        </w:rPr>
        <w:t>interaction</w:t>
      </w:r>
      <w:r>
        <w:rPr>
          <w:rFonts w:ascii="Cambria" w:eastAsia="Cambria" w:hAnsi="Cambria" w:cs="Cambria"/>
          <w:sz w:val="24"/>
          <w:szCs w:val="24"/>
        </w:rPr>
        <w:t xml:space="preserve"> between the individual and others. That is, our participation in linguistic, cultural, institutional, and peer activities is what shapes and reshapes our world, our mental processes, and the knowledge we acquire. </w:t>
      </w:r>
      <w:r>
        <w:rPr>
          <w:rFonts w:ascii="Cambria" w:eastAsia="Cambria" w:hAnsi="Cambria" w:cs="Cambria"/>
          <w:i/>
          <w:iCs/>
          <w:sz w:val="24"/>
          <w:szCs w:val="24"/>
        </w:rPr>
        <w:t>Language</w:t>
      </w:r>
      <w:r>
        <w:rPr>
          <w:rFonts w:ascii="Cambria" w:eastAsia="Cambria" w:hAnsi="Cambria" w:cs="Cambria"/>
          <w:sz w:val="24"/>
          <w:szCs w:val="24"/>
        </w:rPr>
        <w:t xml:space="preserve"> is the most powerful cultural tool humans possess, used to mediate our relationship with the world. </w:t>
      </w:r>
      <w:proofErr w:type="spellStart"/>
      <w:r>
        <w:rPr>
          <w:rFonts w:ascii="Cambria" w:eastAsia="Cambria" w:hAnsi="Cambria" w:cs="Cambria"/>
          <w:i/>
          <w:iCs/>
          <w:sz w:val="24"/>
          <w:szCs w:val="24"/>
        </w:rPr>
        <w:t>Plurilanguaging</w:t>
      </w:r>
      <w:proofErr w:type="spellEnd"/>
      <w:r>
        <w:rPr>
          <w:rFonts w:ascii="Cambria" w:eastAsia="Cambria" w:hAnsi="Cambria" w:cs="Cambria"/>
          <w:sz w:val="24"/>
          <w:szCs w:val="24"/>
        </w:rPr>
        <w:t xml:space="preserve"> – the dynamic use of a speaker’s languages for meaning-making – with another (or with the self) allows us to develop our cognitive processes by, for example, talking through a problem or deciding on the correct linguistic form.</w:t>
      </w:r>
    </w:p>
    <w:p w14:paraId="77C6DB03" w14:textId="77777777" w:rsidR="00F72E09" w:rsidRDefault="00000000">
      <w:pPr>
        <w:spacing w:before="240" w:after="240"/>
        <w:rPr>
          <w:rFonts w:ascii="Cambria" w:eastAsia="Cambria" w:hAnsi="Cambria" w:cs="Cambria"/>
          <w:sz w:val="24"/>
          <w:szCs w:val="24"/>
        </w:rPr>
      </w:pPr>
      <w:r>
        <w:rPr>
          <w:rFonts w:ascii="Cambria" w:eastAsia="Cambria" w:hAnsi="Cambria" w:cs="Cambria"/>
          <w:sz w:val="24"/>
          <w:szCs w:val="24"/>
        </w:rPr>
        <w:t xml:space="preserve">In the mediation process, the learner acts as a </w:t>
      </w:r>
      <w:r>
        <w:rPr>
          <w:rFonts w:ascii="Cambria" w:eastAsia="Cambria" w:hAnsi="Cambria" w:cs="Cambria"/>
          <w:b/>
          <w:bCs/>
          <w:sz w:val="24"/>
          <w:szCs w:val="24"/>
        </w:rPr>
        <w:t>social agent</w:t>
      </w:r>
      <w:r>
        <w:rPr>
          <w:rFonts w:ascii="Cambria" w:eastAsia="Cambria" w:hAnsi="Cambria" w:cs="Cambria"/>
          <w:sz w:val="24"/>
          <w:szCs w:val="24"/>
        </w:rPr>
        <w:t xml:space="preserve"> who draws on their full language repertoire to build bridges between people or texts by constructing, adapting, and conveying meaning, often </w:t>
      </w:r>
      <w:r>
        <w:rPr>
          <w:rFonts w:ascii="Cambria" w:eastAsia="Cambria" w:hAnsi="Cambria" w:cs="Cambria"/>
          <w:i/>
          <w:iCs/>
          <w:sz w:val="24"/>
          <w:szCs w:val="24"/>
        </w:rPr>
        <w:t>across</w:t>
      </w:r>
      <w:r>
        <w:rPr>
          <w:rFonts w:ascii="Cambria" w:eastAsia="Cambria" w:hAnsi="Cambria" w:cs="Cambria"/>
          <w:sz w:val="24"/>
          <w:szCs w:val="24"/>
        </w:rPr>
        <w:t xml:space="preserve"> languages or modes. This involves engaging in cognitive processes to understand information in one language and then explain, summarize, or translate it in another so that others can access and share that meaning. In the </w:t>
      </w:r>
      <w:r>
        <w:rPr>
          <w:rFonts w:ascii="Cambria" w:eastAsia="Cambria" w:hAnsi="Cambria" w:cs="Cambria"/>
          <w:b/>
          <w:bCs/>
          <w:sz w:val="24"/>
          <w:szCs w:val="24"/>
        </w:rPr>
        <w:t>CEFR</w:t>
      </w:r>
      <w:r>
        <w:rPr>
          <w:rFonts w:ascii="Cambria" w:eastAsia="Cambria" w:hAnsi="Cambria" w:cs="Cambria"/>
          <w:sz w:val="24"/>
          <w:szCs w:val="24"/>
        </w:rPr>
        <w:t xml:space="preserve">, </w:t>
      </w:r>
      <w:r>
        <w:rPr>
          <w:rFonts w:ascii="Cambria" w:eastAsia="Cambria" w:hAnsi="Cambria" w:cs="Cambria"/>
          <w:b/>
          <w:bCs/>
          <w:sz w:val="24"/>
          <w:szCs w:val="24"/>
        </w:rPr>
        <w:t>mediation</w:t>
      </w:r>
      <w:r>
        <w:rPr>
          <w:rFonts w:ascii="Cambria" w:eastAsia="Cambria" w:hAnsi="Cambria" w:cs="Cambria"/>
          <w:sz w:val="24"/>
          <w:szCs w:val="24"/>
        </w:rPr>
        <w:t xml:space="preserve"> is recognized as a distinct mode of communication alongside reception, production, and interaction, focusing on making meaning accessible and co-constructing understanding.</w:t>
      </w:r>
      <w:r>
        <w:rPr>
          <w:noProof/>
        </w:rPr>
        <w:drawing>
          <wp:anchor distT="114300" distB="114300" distL="114300" distR="114300" simplePos="0" relativeHeight="251658240" behindDoc="0" locked="0" layoutInCell="1" hidden="0" allowOverlap="1" wp14:anchorId="098EFCE3" wp14:editId="4D884E21">
            <wp:simplePos x="0" y="0"/>
            <wp:positionH relativeFrom="column">
              <wp:posOffset>4852035</wp:posOffset>
            </wp:positionH>
            <wp:positionV relativeFrom="paragraph">
              <wp:posOffset>163830</wp:posOffset>
            </wp:positionV>
            <wp:extent cx="996144" cy="866775"/>
            <wp:effectExtent l="0" t="0" r="0" b="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
                    <a:srcRect/>
                    <a:stretch>
                      <a:fillRect/>
                    </a:stretch>
                  </pic:blipFill>
                  <pic:spPr>
                    <a:xfrm>
                      <a:off x="0" y="0"/>
                      <a:ext cx="996144" cy="866775"/>
                    </a:xfrm>
                    <a:prstGeom prst="rect">
                      <a:avLst/>
                    </a:prstGeom>
                    <a:ln/>
                  </pic:spPr>
                </pic:pic>
              </a:graphicData>
            </a:graphic>
          </wp:anchor>
        </w:drawing>
      </w:r>
    </w:p>
    <w:p w14:paraId="22CCFFD2" w14:textId="77777777" w:rsidR="00F72E09" w:rsidRDefault="00000000">
      <w:pPr>
        <w:spacing w:before="360" w:after="80"/>
        <w:rPr>
          <w:rFonts w:ascii="Cambria" w:eastAsia="Cambria" w:hAnsi="Cambria" w:cs="Cambria"/>
          <w:b/>
          <w:bCs/>
          <w:sz w:val="28"/>
          <w:szCs w:val="28"/>
        </w:rPr>
      </w:pPr>
      <w:r>
        <w:rPr>
          <w:rFonts w:ascii="Cambria" w:eastAsia="Cambria" w:hAnsi="Cambria" w:cs="Cambria"/>
          <w:b/>
          <w:bCs/>
          <w:sz w:val="28"/>
          <w:szCs w:val="28"/>
        </w:rPr>
        <w:t>Mediation and Plurilingual Learners</w:t>
      </w:r>
    </w:p>
    <w:p w14:paraId="2D7EED56" w14:textId="77777777" w:rsidR="00F72E09" w:rsidRDefault="00000000">
      <w:pPr>
        <w:spacing w:before="240" w:after="240"/>
        <w:rPr>
          <w:rFonts w:ascii="Cambria" w:eastAsia="Cambria" w:hAnsi="Cambria" w:cs="Cambria"/>
          <w:sz w:val="24"/>
          <w:szCs w:val="24"/>
        </w:rPr>
      </w:pPr>
      <w:r>
        <w:rPr>
          <w:rFonts w:ascii="Cambria" w:eastAsia="Cambria" w:hAnsi="Cambria" w:cs="Cambria"/>
          <w:sz w:val="24"/>
          <w:szCs w:val="24"/>
        </w:rPr>
        <w:t>For plurilingual learners, mediation legitimizes the use of their full linguistic repertoire rather than keeping languages strictly separated, creating new ways to construct knowledge and understanding by reducing linguistic barriers, fostering mutual understanding, and supporting others’ learning. For plurilingual learners, the more languages they can draw on, the more they can support complex cognitive processes and flexible thinking, which in turn deepens their knowledge development and understanding of complex content.</w:t>
      </w:r>
    </w:p>
    <w:p w14:paraId="7963D21B" w14:textId="77777777" w:rsidR="00F72E09" w:rsidRDefault="00000000">
      <w:pPr>
        <w:spacing w:before="240" w:after="240"/>
        <w:rPr>
          <w:rFonts w:ascii="Cambria" w:eastAsia="Cambria" w:hAnsi="Cambria" w:cs="Cambria"/>
          <w:sz w:val="28"/>
          <w:szCs w:val="28"/>
        </w:rPr>
      </w:pPr>
      <w:r>
        <w:rPr>
          <w:rFonts w:ascii="Cambria" w:eastAsia="Cambria" w:hAnsi="Cambria" w:cs="Cambria"/>
          <w:b/>
          <w:bCs/>
          <w:sz w:val="28"/>
          <w:szCs w:val="28"/>
        </w:rPr>
        <w:t xml:space="preserve">Mediation and the ESP Context </w:t>
      </w:r>
    </w:p>
    <w:p w14:paraId="05805C29" w14:textId="77777777" w:rsidR="00F72E09" w:rsidRDefault="00000000">
      <w:pPr>
        <w:spacing w:before="240" w:after="240"/>
        <w:rPr>
          <w:rFonts w:ascii="Cambria" w:eastAsia="Cambria" w:hAnsi="Cambria" w:cs="Cambria"/>
          <w:sz w:val="24"/>
          <w:szCs w:val="24"/>
        </w:rPr>
      </w:pPr>
      <w:r>
        <w:rPr>
          <w:rFonts w:ascii="Cambria" w:eastAsia="Cambria" w:hAnsi="Cambria" w:cs="Cambria"/>
          <w:sz w:val="24"/>
          <w:szCs w:val="24"/>
        </w:rPr>
        <w:lastRenderedPageBreak/>
        <w:t xml:space="preserve">English for Specific Purposes (ESP) focuses on the language, genres, and communication skills needed </w:t>
      </w:r>
      <w:proofErr w:type="gramStart"/>
      <w:r>
        <w:rPr>
          <w:rFonts w:ascii="Cambria" w:eastAsia="Cambria" w:hAnsi="Cambria" w:cs="Cambria"/>
          <w:sz w:val="24"/>
          <w:szCs w:val="24"/>
        </w:rPr>
        <w:t>in particular academic</w:t>
      </w:r>
      <w:proofErr w:type="gramEnd"/>
      <w:r>
        <w:rPr>
          <w:rFonts w:ascii="Cambria" w:eastAsia="Cambria" w:hAnsi="Cambria" w:cs="Cambria"/>
          <w:sz w:val="24"/>
          <w:szCs w:val="24"/>
        </w:rPr>
        <w:t xml:space="preserve"> or professional fields (e.g., engineering, business, nursing). For students entering or already in higher education, ESP courses help them understand discipline‑specific texts and tasks and act as a bridge between general language ability and the specialized literacy practices required for university success. Plurilingual mediation is central to content learning in ESP because it allows learners to draw on </w:t>
      </w:r>
      <w:proofErr w:type="gramStart"/>
      <w:r>
        <w:rPr>
          <w:rFonts w:ascii="Cambria" w:eastAsia="Cambria" w:hAnsi="Cambria" w:cs="Cambria"/>
          <w:sz w:val="24"/>
          <w:szCs w:val="24"/>
        </w:rPr>
        <w:t>all of</w:t>
      </w:r>
      <w:proofErr w:type="gramEnd"/>
      <w:r>
        <w:rPr>
          <w:rFonts w:ascii="Cambria" w:eastAsia="Cambria" w:hAnsi="Cambria" w:cs="Cambria"/>
          <w:sz w:val="24"/>
          <w:szCs w:val="24"/>
        </w:rPr>
        <w:t xml:space="preserve"> their languages to access, process, and communicate specialized knowledge. By moving flexibly between languages, students can unpack dense disciplinary texts, clarify complex concepts and processes, and then re‑express them using appropriate ESP terminology and genres. This supports a deeper understanding of subject matter while simultaneously developing the communicative skills needed in academic and professional contexts. As </w:t>
      </w:r>
      <w:proofErr w:type="gramStart"/>
      <w:r>
        <w:rPr>
          <w:rFonts w:ascii="Cambria" w:eastAsia="Cambria" w:hAnsi="Cambria" w:cs="Cambria"/>
          <w:sz w:val="24"/>
          <w:szCs w:val="24"/>
        </w:rPr>
        <w:t>learners</w:t>
      </w:r>
      <w:proofErr w:type="gramEnd"/>
      <w:r>
        <w:rPr>
          <w:rFonts w:ascii="Cambria" w:eastAsia="Cambria" w:hAnsi="Cambria" w:cs="Cambria"/>
          <w:sz w:val="24"/>
          <w:szCs w:val="24"/>
        </w:rPr>
        <w:t xml:space="preserve"> mediate content for themselves and others, they strengthen higher‑order cognitive processes such as analysis, evaluation, and problem‑solving, and gain confidence in participating in their target professional community.</w:t>
      </w:r>
      <w:r>
        <w:rPr>
          <w:noProof/>
        </w:rPr>
        <w:drawing>
          <wp:anchor distT="0" distB="0" distL="0" distR="0" simplePos="0" relativeHeight="251659264" behindDoc="0" locked="0" layoutInCell="1" hidden="0" allowOverlap="1" wp14:anchorId="012A34A3" wp14:editId="4B32133A">
            <wp:simplePos x="0" y="0"/>
            <wp:positionH relativeFrom="column">
              <wp:posOffset>4981575</wp:posOffset>
            </wp:positionH>
            <wp:positionV relativeFrom="paragraph">
              <wp:posOffset>2781300</wp:posOffset>
            </wp:positionV>
            <wp:extent cx="1222375" cy="1222375"/>
            <wp:effectExtent l="0" t="0" r="0" b="0"/>
            <wp:wrapSquare wrapText="bothSides" distT="0" distB="0" distL="0" distR="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222375" cy="1222375"/>
                    </a:xfrm>
                    <a:prstGeom prst="rect">
                      <a:avLst/>
                    </a:prstGeom>
                    <a:ln/>
                  </pic:spPr>
                </pic:pic>
              </a:graphicData>
            </a:graphic>
          </wp:anchor>
        </w:drawing>
      </w:r>
    </w:p>
    <w:p w14:paraId="285C383C" w14:textId="77777777" w:rsidR="00F72E09" w:rsidRDefault="00000000">
      <w:pPr>
        <w:spacing w:before="360" w:after="80"/>
        <w:jc w:val="center"/>
        <w:rPr>
          <w:rFonts w:ascii="Cambria" w:eastAsia="Cambria" w:hAnsi="Cambria" w:cs="Cambria"/>
          <w:sz w:val="28"/>
          <w:szCs w:val="28"/>
        </w:rPr>
      </w:pPr>
      <w:r>
        <w:rPr>
          <w:rFonts w:ascii="Cambria" w:eastAsia="Cambria" w:hAnsi="Cambria" w:cs="Cambria"/>
          <w:b/>
          <w:bCs/>
          <w:sz w:val="28"/>
          <w:szCs w:val="28"/>
        </w:rPr>
        <w:t>🔄</w:t>
      </w:r>
    </w:p>
    <w:p w14:paraId="74E61722" w14:textId="77777777" w:rsidR="00F72E09" w:rsidRDefault="00000000">
      <w:pPr>
        <w:spacing w:before="360" w:after="80"/>
        <w:rPr>
          <w:rFonts w:ascii="Cambria" w:eastAsia="Cambria" w:hAnsi="Cambria" w:cs="Cambria"/>
          <w:b/>
          <w:bCs/>
          <w:sz w:val="28"/>
          <w:szCs w:val="28"/>
        </w:rPr>
      </w:pPr>
      <w:r>
        <w:rPr>
          <w:rFonts w:ascii="Cambria" w:eastAsia="Cambria" w:hAnsi="Cambria" w:cs="Cambria"/>
          <w:b/>
          <w:bCs/>
          <w:sz w:val="28"/>
          <w:szCs w:val="28"/>
        </w:rPr>
        <w:t>Opportunities for Learners to Optimize Mediation: ESP-Based Scenarios</w:t>
      </w:r>
    </w:p>
    <w:p w14:paraId="3A125C2D" w14:textId="77777777" w:rsidR="00F72E09" w:rsidRDefault="00F72E09">
      <w:pPr>
        <w:rPr>
          <w:rFonts w:ascii="Cambria" w:eastAsia="Cambria" w:hAnsi="Cambria" w:cs="Cambria"/>
          <w:sz w:val="24"/>
          <w:szCs w:val="24"/>
        </w:rPr>
      </w:pPr>
    </w:p>
    <w:p w14:paraId="6D6708AE" w14:textId="77777777" w:rsidR="00F72E09" w:rsidRDefault="00000000">
      <w:pPr>
        <w:rPr>
          <w:rFonts w:ascii="Cambria" w:eastAsia="Cambria" w:hAnsi="Cambria" w:cs="Cambria"/>
          <w:i/>
          <w:iCs/>
          <w:sz w:val="24"/>
          <w:szCs w:val="24"/>
        </w:rPr>
      </w:pPr>
      <w:r>
        <w:rPr>
          <w:rFonts w:ascii="Cambria" w:eastAsia="Cambria" w:hAnsi="Cambria" w:cs="Cambria"/>
          <w:i/>
          <w:iCs/>
          <w:sz w:val="24"/>
          <w:szCs w:val="24"/>
        </w:rPr>
        <w:t xml:space="preserve">To see examples of using mediation, see the different scenarios for ESP focusing on environmental topics </w:t>
      </w:r>
    </w:p>
    <w:p w14:paraId="24C4EF5A" w14:textId="77777777" w:rsidR="00F72E09" w:rsidRDefault="00F72E09">
      <w:pPr>
        <w:rPr>
          <w:rFonts w:ascii="Cambria" w:eastAsia="Cambria" w:hAnsi="Cambria" w:cs="Cambria"/>
          <w:i/>
          <w:iCs/>
          <w:sz w:val="24"/>
          <w:szCs w:val="24"/>
        </w:rPr>
      </w:pPr>
    </w:p>
    <w:p w14:paraId="321F1827" w14:textId="69E1853A" w:rsidR="00F72E09" w:rsidRDefault="00000000">
      <w:pPr>
        <w:rPr>
          <w:rFonts w:ascii="Cambria" w:eastAsia="Cambria" w:hAnsi="Cambria" w:cs="Cambria"/>
          <w:b/>
          <w:bCs/>
          <w:sz w:val="24"/>
          <w:szCs w:val="24"/>
        </w:rPr>
      </w:pPr>
      <w:r>
        <w:rPr>
          <w:rFonts w:ascii="Cambria" w:eastAsia="Cambria" w:hAnsi="Cambria" w:cs="Cambria"/>
          <w:b/>
          <w:bCs/>
          <w:sz w:val="24"/>
          <w:szCs w:val="24"/>
        </w:rPr>
        <w:t xml:space="preserve">Project 1: </w:t>
      </w:r>
      <w:hyperlink r:id="rId6" w:history="1">
        <w:r w:rsidRPr="00F77B82">
          <w:rPr>
            <w:rStyle w:val="Hyperlink"/>
            <w:rFonts w:ascii="Cambria" w:eastAsia="Cambria" w:hAnsi="Cambria" w:cs="Cambria"/>
            <w:b/>
            <w:bCs/>
            <w:sz w:val="24"/>
            <w:szCs w:val="24"/>
          </w:rPr>
          <w:t>Our Sustainable Urban Garden</w:t>
        </w:r>
      </w:hyperlink>
    </w:p>
    <w:p w14:paraId="6DEE5C71" w14:textId="77777777" w:rsidR="00F72E09" w:rsidRDefault="00000000">
      <w:pPr>
        <w:spacing w:before="240" w:after="240"/>
        <w:rPr>
          <w:rFonts w:ascii="Cambria" w:eastAsia="Cambria" w:hAnsi="Cambria" w:cs="Cambria"/>
          <w:sz w:val="24"/>
          <w:szCs w:val="24"/>
        </w:rPr>
      </w:pPr>
      <w:r>
        <w:rPr>
          <w:rFonts w:ascii="Cambria" w:eastAsia="Cambria" w:hAnsi="Cambria" w:cs="Cambria"/>
          <w:sz w:val="24"/>
          <w:szCs w:val="24"/>
        </w:rPr>
        <w:t>Students develop and present a proposal for transforming an unused urban space into a community sustainability garden, explaining its design, purpose, and benefits for both the campus and the wider community.</w:t>
      </w:r>
    </w:p>
    <w:p w14:paraId="6C5D57CE" w14:textId="4E481506" w:rsidR="00F72E09" w:rsidRDefault="00000000">
      <w:pPr>
        <w:spacing w:before="240" w:after="240"/>
        <w:rPr>
          <w:rFonts w:ascii="Cambria" w:eastAsia="Cambria" w:hAnsi="Cambria" w:cs="Cambria"/>
          <w:b/>
          <w:bCs/>
          <w:sz w:val="24"/>
          <w:szCs w:val="24"/>
        </w:rPr>
      </w:pPr>
      <w:r>
        <w:rPr>
          <w:rFonts w:ascii="Cambria" w:eastAsia="Cambria" w:hAnsi="Cambria" w:cs="Cambria"/>
          <w:b/>
          <w:bCs/>
          <w:sz w:val="24"/>
          <w:szCs w:val="24"/>
        </w:rPr>
        <w:t xml:space="preserve">Project 2: </w:t>
      </w:r>
      <w:hyperlink r:id="rId7" w:history="1">
        <w:r w:rsidRPr="00F77B82">
          <w:rPr>
            <w:rStyle w:val="Hyperlink"/>
            <w:rFonts w:ascii="Cambria" w:eastAsia="Cambria" w:hAnsi="Cambria" w:cs="Cambria"/>
            <w:b/>
            <w:bCs/>
            <w:sz w:val="24"/>
            <w:szCs w:val="24"/>
          </w:rPr>
          <w:t>A Community Recycling Campaign</w:t>
        </w:r>
      </w:hyperlink>
    </w:p>
    <w:p w14:paraId="53FE644F" w14:textId="77777777" w:rsidR="00F72E09" w:rsidRDefault="00000000">
      <w:pPr>
        <w:spacing w:before="240" w:after="240"/>
        <w:rPr>
          <w:rFonts w:ascii="Cambria" w:eastAsia="Cambria" w:hAnsi="Cambria" w:cs="Cambria"/>
          <w:sz w:val="24"/>
          <w:szCs w:val="24"/>
        </w:rPr>
      </w:pPr>
      <w:r>
        <w:rPr>
          <w:rFonts w:ascii="Cambria" w:eastAsia="Cambria" w:hAnsi="Cambria" w:cs="Cambria"/>
          <w:sz w:val="24"/>
          <w:szCs w:val="24"/>
        </w:rPr>
        <w:t>Students design and present a communication plan for a local recycling campaign, creating clear messages and materials to encourage community participation and improve recycling practices.</w:t>
      </w:r>
    </w:p>
    <w:p w14:paraId="615B08E2" w14:textId="392A1AF2" w:rsidR="00F72E09" w:rsidRDefault="00000000">
      <w:pPr>
        <w:spacing w:before="240" w:after="240"/>
        <w:rPr>
          <w:rFonts w:ascii="Cambria" w:eastAsia="Cambria" w:hAnsi="Cambria" w:cs="Cambria"/>
          <w:b/>
          <w:bCs/>
          <w:sz w:val="24"/>
          <w:szCs w:val="24"/>
        </w:rPr>
      </w:pPr>
      <w:r>
        <w:rPr>
          <w:rFonts w:ascii="Cambria" w:eastAsia="Cambria" w:hAnsi="Cambria" w:cs="Cambria"/>
          <w:b/>
          <w:bCs/>
          <w:sz w:val="24"/>
          <w:szCs w:val="24"/>
        </w:rPr>
        <w:t xml:space="preserve">Project 3: </w:t>
      </w:r>
      <w:hyperlink r:id="rId8" w:history="1">
        <w:r w:rsidRPr="00F77B82">
          <w:rPr>
            <w:rStyle w:val="Hyperlink"/>
            <w:rFonts w:ascii="Cambria" w:eastAsia="Cambria" w:hAnsi="Cambria" w:cs="Cambria"/>
            <w:b/>
            <w:bCs/>
            <w:sz w:val="24"/>
            <w:szCs w:val="24"/>
          </w:rPr>
          <w:t>Voices of the Field</w:t>
        </w:r>
      </w:hyperlink>
      <w:r>
        <w:rPr>
          <w:rFonts w:ascii="Cambria" w:eastAsia="Cambria" w:hAnsi="Cambria" w:cs="Cambria"/>
          <w:b/>
          <w:bCs/>
          <w:sz w:val="24"/>
          <w:szCs w:val="24"/>
        </w:rPr>
        <w:t xml:space="preserve">  </w:t>
      </w:r>
    </w:p>
    <w:p w14:paraId="7C70AC4D" w14:textId="77777777" w:rsidR="00F72E09" w:rsidRDefault="00000000">
      <w:pPr>
        <w:spacing w:before="240" w:after="240"/>
        <w:rPr>
          <w:rFonts w:ascii="Cambria" w:eastAsia="Cambria" w:hAnsi="Cambria" w:cs="Cambria"/>
          <w:sz w:val="24"/>
          <w:szCs w:val="24"/>
        </w:rPr>
      </w:pPr>
      <w:r>
        <w:rPr>
          <w:rFonts w:ascii="Cambria" w:eastAsia="Cambria" w:hAnsi="Cambria" w:cs="Cambria"/>
          <w:sz w:val="24"/>
          <w:szCs w:val="24"/>
        </w:rPr>
        <w:t>Students communicate their environmental research to both expert and public audiences through academic and public-facing formats, developing the ability to present specialized knowledge clearly, effectively, and appropriately for different listeners.</w:t>
      </w:r>
    </w:p>
    <w:sectPr w:rsidR="00F72E0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D849B78B-0F03-4D16-A192-2F1FC2536E48}"/>
    <w:embedBold r:id="rId2" w:fontKey="{7DC2CDB0-CC17-4887-85BE-109B91751F3D}"/>
    <w:embedItalic r:id="rId3" w:fontKey="{195D5174-D6BE-44D2-9B99-1D41C44F9D8C}"/>
  </w:font>
  <w:font w:name="Calibri">
    <w:panose1 w:val="020F0502020204030204"/>
    <w:charset w:val="00"/>
    <w:family w:val="swiss"/>
    <w:pitch w:val="variable"/>
    <w:sig w:usb0="E4002EFF" w:usb1="C200247B" w:usb2="00000009" w:usb3="00000000" w:csb0="000001FF" w:csb1="00000000"/>
    <w:embedRegular r:id="rId4" w:fontKey="{E49CCC36-E640-4C70-A965-6FADDF0896E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E09"/>
    <w:rsid w:val="00233619"/>
    <w:rsid w:val="00F72E09"/>
    <w:rsid w:val="00F77B82"/>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C36B1"/>
  <w15:docId w15:val="{A1A00DDB-9219-4A7F-83F8-ACED887AD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F77B82"/>
    <w:rPr>
      <w:color w:val="0000FF" w:themeColor="hyperlink"/>
      <w:u w:val="single"/>
    </w:rPr>
  </w:style>
  <w:style w:type="character" w:styleId="UnresolvedMention">
    <w:name w:val="Unresolved Mention"/>
    <w:basedOn w:val="DefaultParagraphFont"/>
    <w:uiPriority w:val="99"/>
    <w:semiHidden/>
    <w:unhideWhenUsed/>
    <w:rsid w:val="00F77B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aaleproject.org/wp-content/uploads/2026/05/Voices-of-the-Field-C2-Scenario-ESP-Context.docx" TargetMode="External"/><Relationship Id="rId3" Type="http://schemas.openxmlformats.org/officeDocument/2006/relationships/webSettings" Target="webSettings.xml"/><Relationship Id="rId7" Type="http://schemas.openxmlformats.org/officeDocument/2006/relationships/hyperlink" Target="https://aaleproject.org/wp-content/uploads/2026/05/Our-Green-Neighbourhood-&#8211;-B1-Scenario-ESP-Context.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aleproject.org/wp-content/uploads/2026/05/Roots-in-the-City-&#8211;-B2-Scenario-ESP-Context.docx" TargetMode="External"/><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682</Words>
  <Characters>3893</Characters>
  <Application>Microsoft Office Word</Application>
  <DocSecurity>0</DocSecurity>
  <Lines>32</Lines>
  <Paragraphs>9</Paragraphs>
  <ScaleCrop>false</ScaleCrop>
  <Company/>
  <LinksUpToDate>false</LinksUpToDate>
  <CharactersWithSpaces>4566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José Luis Ortiz Soria</cp:lastModifiedBy>
  <cp:revision>2</cp:revision>
  <dcterms:created xsi:type="dcterms:W3CDTF">2026-05-20T13:37:00Z</dcterms:created>
  <dcterms:modified xsi:type="dcterms:W3CDTF">2026-05-20T13:46:00Z</dcterms:modified>
</cp:coreProperties>
</file>