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Cambria" w:cs="Cambria" w:eastAsia="Cambria" w:hAnsi="Cambria"/>
          <w:sz w:val="36"/>
          <w:szCs w:val="36"/>
        </w:rPr>
      </w:pPr>
      <w:r w:rsidDel="00000000" w:rsidR="00000000" w:rsidRPr="00000000">
        <w:rPr>
          <w:rFonts w:ascii="Cambria" w:cs="Cambria" w:eastAsia="Cambria" w:hAnsi="Cambria"/>
          <w:b w:val="1"/>
          <w:bCs w:val="1"/>
          <w:sz w:val="36"/>
          <w:szCs w:val="36"/>
          <w:rtl w:val="0"/>
        </w:rPr>
        <w:t xml:space="preserve">Adapting the Length of an Action-oriented Scenario</w:t>
      </w:r>
      <w:r w:rsidDel="00000000" w:rsidR="00000000" w:rsidRPr="00000000">
        <w:rPr>
          <w:rtl w:val="0"/>
        </w:rPr>
      </w:r>
    </w:p>
    <w:p w:rsidR="00000000" w:rsidDel="00000000" w:rsidP="00000000" w:rsidRDefault="00000000" w:rsidRPr="00000000" w14:paraId="00000002">
      <w:pPr>
        <w:jc w:val="cente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One of the underlying principles of the CEFR is that learning is situated. This means that learners develop their competences by actively engaging in tasks within their social contexts. As a result, learning will look differently depending on the setting. This is an important consideration when planning using the action-oriented approach (AoA), the methodological perspective of the CEFR. </w:t>
      </w:r>
    </w:p>
    <w:p w:rsidR="00000000" w:rsidDel="00000000" w:rsidP="00000000" w:rsidRDefault="00000000" w:rsidRPr="00000000" w14:paraId="00000004">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5">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 the AoA, learners are viewed as social agents who use language to accomplish real-world tasks. Teachers thoughtfully select and combine descriptors to design an authentic and meaningful culminating task that learners complete collaboratively. Teachers then plan a sequence of formative subtasks that scaffold the learning process, supporting learners to progressively build the competences needed to successfully complete that final task. </w:t>
      </w:r>
    </w:p>
    <w:p w:rsidR="00000000" w:rsidDel="00000000" w:rsidP="00000000" w:rsidRDefault="00000000" w:rsidRPr="00000000" w14:paraId="00000006">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7">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Many examples of action-oriented scenarios are available in the Advancing Agency in Language Education (AALE) project. While these examples can serve as valuable resources, they are not necessarily intended to be used “as is.” Educators exercise their professional judgement to determine what will best support their learners. This may involve using a scenario “as is,” or might involve adapting an existing scenario, including modifying its length.</w:t>
      </w:r>
    </w:p>
    <w:p w:rsidR="00000000" w:rsidDel="00000000" w:rsidP="00000000" w:rsidRDefault="00000000" w:rsidRPr="00000000" w14:paraId="00000008">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9">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Take for example the scenario entitled </w:t>
      </w:r>
      <w:hyperlink r:id="rId6">
        <w:r w:rsidDel="00000000" w:rsidR="00000000" w:rsidRPr="00000000">
          <w:rPr>
            <w:rFonts w:ascii="Cambria" w:cs="Cambria" w:eastAsia="Cambria" w:hAnsi="Cambria"/>
            <w:i w:val="1"/>
            <w:iCs w:val="1"/>
            <w:color w:val="1155cc"/>
            <w:sz w:val="24"/>
            <w:szCs w:val="24"/>
            <w:u w:val="single"/>
            <w:rtl w:val="0"/>
          </w:rPr>
          <w:t xml:space="preserve">Acquérir une expérience de travail pertinente dans mon domaine d’études</w:t>
        </w:r>
      </w:hyperlink>
      <w:r w:rsidDel="00000000" w:rsidR="00000000" w:rsidRPr="00000000">
        <w:rPr>
          <w:rFonts w:ascii="Cambria" w:cs="Cambria" w:eastAsia="Cambria" w:hAnsi="Cambria"/>
          <w:sz w:val="24"/>
          <w:szCs w:val="24"/>
          <w:rtl w:val="0"/>
        </w:rPr>
        <w:t xml:space="preserve"> (“Acquiring relevant work experience in my field of study”). In this scenario, learners nearing the end of secondary school seek opportunities related to their intended field of post-secondary study, such as field placements, co-operative education, mentorships, volunteer roles, or internships. Learners research these opportunities and choose one for which to apply. This scenario has two parts. Part A </w:t>
      </w:r>
      <w:r w:rsidDel="00000000" w:rsidR="00000000" w:rsidRPr="00000000">
        <w:rPr>
          <w:rFonts w:ascii="Cambria" w:cs="Cambria" w:eastAsia="Cambria" w:hAnsi="Cambria"/>
          <w:sz w:val="24"/>
          <w:szCs w:val="24"/>
          <w:rtl w:val="0"/>
        </w:rPr>
        <w:t xml:space="preserve">focuses</w:t>
      </w:r>
      <w:r w:rsidDel="00000000" w:rsidR="00000000" w:rsidRPr="00000000">
        <w:rPr>
          <w:rFonts w:ascii="Cambria" w:cs="Cambria" w:eastAsia="Cambria" w:hAnsi="Cambria"/>
          <w:sz w:val="24"/>
          <w:szCs w:val="24"/>
          <w:rtl w:val="0"/>
        </w:rPr>
        <w:t xml:space="preserve"> on the application process, including preparing and submitting a resume and cover letter. Part B </w:t>
      </w:r>
      <w:r w:rsidDel="00000000" w:rsidR="00000000" w:rsidRPr="00000000">
        <w:rPr>
          <w:rFonts w:ascii="Cambria" w:cs="Cambria" w:eastAsia="Cambria" w:hAnsi="Cambria"/>
          <w:sz w:val="24"/>
          <w:szCs w:val="24"/>
          <w:rtl w:val="0"/>
        </w:rPr>
        <w:t xml:space="preserve">focuses</w:t>
      </w:r>
      <w:r w:rsidDel="00000000" w:rsidR="00000000" w:rsidRPr="00000000">
        <w:rPr>
          <w:rFonts w:ascii="Cambria" w:cs="Cambria" w:eastAsia="Cambria" w:hAnsi="Cambria"/>
          <w:sz w:val="24"/>
          <w:szCs w:val="24"/>
          <w:rtl w:val="0"/>
        </w:rPr>
        <w:t xml:space="preserve"> on interview preparation, should learners be invited to interview for the position. </w:t>
      </w:r>
    </w:p>
    <w:p w:rsidR="00000000" w:rsidDel="00000000" w:rsidP="00000000" w:rsidRDefault="00000000" w:rsidRPr="00000000" w14:paraId="0000000A">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B">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Together, the authors of this scenario estimate that Parts A and B require 1050 minutes of class time (14 periods of 75 minutes).  While this timeline may be appropriate in some contexts, it might not be feasible in others. In such cases, teachers can adapt this scenario to better meet their needs. For instance, teachers may choose to focus only on Part A (resume and cover letter) or Part B (interview preparation). Alternatively, they may separate the two parts, completing Part A at one point of the year and returning to Part B later, using a more spiralled approach to learning.</w:t>
      </w:r>
    </w:p>
    <w:p w:rsidR="00000000" w:rsidDel="00000000" w:rsidP="00000000" w:rsidRDefault="00000000" w:rsidRPr="00000000" w14:paraId="0000000C">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Regardless of how teachers choose to adapt the scenario, both the CEFR and AoA support flexibility and responsiveness to context. Teachers are encouraged to exercise  their agency and professional judgement to design action-oriented learning experiences that reflect the needs, interests, and realities of the learners in their classrooms.</w:t>
      </w:r>
    </w:p>
    <w:p w:rsidR="00000000" w:rsidDel="00000000" w:rsidP="00000000" w:rsidRDefault="00000000" w:rsidRPr="00000000" w14:paraId="0000000D">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E">
      <w:pPr>
        <w:rPr>
          <w:rFonts w:ascii="Cambria" w:cs="Cambria" w:eastAsia="Cambria" w:hAnsi="Cambria"/>
          <w:b w:val="1"/>
          <w:bCs w:val="1"/>
          <w:sz w:val="24"/>
          <w:szCs w:val="24"/>
        </w:rPr>
      </w:pPr>
      <w:r w:rsidDel="00000000" w:rsidR="00000000" w:rsidRPr="00000000">
        <w:rPr>
          <w:rFonts w:ascii="Cambria" w:cs="Cambria" w:eastAsia="Cambria" w:hAnsi="Cambria"/>
          <w:sz w:val="24"/>
          <w:szCs w:val="24"/>
          <w:rtl w:val="0"/>
        </w:rPr>
        <w:t xml:space="preserve"> </w:t>
      </w:r>
      <w:r w:rsidDel="00000000" w:rsidR="00000000" w:rsidRPr="00000000">
        <w:rPr>
          <w:rtl w:val="0"/>
        </w:rPr>
      </w:r>
    </w:p>
    <w:p w:rsidR="00000000" w:rsidDel="00000000" w:rsidP="00000000" w:rsidRDefault="00000000" w:rsidRPr="00000000" w14:paraId="0000000F">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0">
      <w:pPr>
        <w:jc w:val="cente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1">
      <w:pPr>
        <w:rPr>
          <w:rFonts w:ascii="Cambria" w:cs="Cambria" w:eastAsia="Cambria" w:hAnsi="Cambria"/>
          <w:sz w:val="24"/>
          <w:szCs w:val="24"/>
        </w:rPr>
      </w:pPr>
      <w:r w:rsidDel="00000000" w:rsidR="00000000" w:rsidRPr="00000000">
        <w:rPr>
          <w:rtl w:val="0"/>
        </w:rPr>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 w:name="Apto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2">
    <w:pPr>
      <w:rPr/>
    </w:pPr>
    <w:r w:rsidDel="00000000" w:rsidR="00000000" w:rsidRPr="00000000">
      <w:rPr>
        <w:sz w:val="16"/>
        <w:szCs w:val="16"/>
        <w:rtl w:val="0"/>
      </w:rPr>
      <w:t xml:space="preserve">“</w:t>
    </w:r>
    <w:r w:rsidDel="00000000" w:rsidR="00000000" w:rsidRPr="00000000">
      <w:rPr>
        <w:rFonts w:ascii="Aptos" w:cs="Aptos" w:eastAsia="Aptos" w:hAnsi="Aptos"/>
        <w:sz w:val="16"/>
        <w:szCs w:val="16"/>
        <w:rtl w:val="0"/>
      </w:rPr>
      <w:t xml:space="preserve">Guidance Sheet: Adapting the Length of a Scenario” by Danielle Hunter is licensed under CC BY-ND</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cs.google.com/document/d/1eFBQsnPFNlDP4LzJzRmwRbTHZIyvKsgHYmVTO_8mgFk/edit?usp=sharing" TargetMode="Externa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